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020" w:rsidRPr="00E04453" w:rsidRDefault="00BE2020" w:rsidP="00BE2020">
      <w:pPr>
        <w:rPr>
          <w:rFonts w:ascii="Garamond" w:hAnsi="Garamond"/>
        </w:rPr>
      </w:pPr>
    </w:p>
    <w:p w:rsidR="00BE2020" w:rsidRPr="00E04453" w:rsidRDefault="00BE2020" w:rsidP="00BE2020">
      <w:pPr>
        <w:jc w:val="both"/>
        <w:rPr>
          <w:rFonts w:ascii="Garamond" w:hAnsi="Garamond"/>
          <w:i/>
        </w:rPr>
      </w:pPr>
      <w:r w:rsidRPr="00E04453">
        <w:rPr>
          <w:rFonts w:ascii="Garamond" w:hAnsi="Garamond"/>
        </w:rPr>
        <w:t xml:space="preserve">To date, we have examined the historical precedents that structure contemporary notions of race and discrimination in the United States. In particular, we have examined the effects of social policy on individuals and groups in the United States. On the midterm I will ask you to demonstrate your knowledge of the material covered in the first half of the course. The format of the exam breaks down in the following manner: 10 True/False questions (1 point each), 20 multiple choice questions (2.5 points each) and 1 short essay question (40 points: you will be provided with 3 potential questions from which you are to answer 1). In the space below I provide a comprehensive study guide that will help you prepare for the exam. </w:t>
      </w:r>
    </w:p>
    <w:p w:rsidR="00BE2020" w:rsidRPr="00E04453" w:rsidRDefault="00BE2020" w:rsidP="00BE2020">
      <w:pPr>
        <w:pStyle w:val="ListParagraph"/>
        <w:numPr>
          <w:ilvl w:val="0"/>
          <w:numId w:val="1"/>
        </w:numPr>
        <w:spacing w:after="0" w:line="240" w:lineRule="auto"/>
        <w:jc w:val="both"/>
        <w:rPr>
          <w:rFonts w:ascii="Garamond" w:hAnsi="Garamond"/>
        </w:rPr>
      </w:pPr>
      <w:r w:rsidRPr="00E04453">
        <w:rPr>
          <w:rFonts w:ascii="Garamond" w:hAnsi="Garamond"/>
        </w:rPr>
        <w:t xml:space="preserve">Review class notes. The multiple choice questions will cover information discussed in class and in the readings. Also, review the themes of the videos clips that we watched in class. For your convenience I have made my Prezi slides public. You can review these at Prezi.com. </w:t>
      </w:r>
    </w:p>
    <w:p w:rsidR="00BE2020" w:rsidRPr="00E04453" w:rsidRDefault="00BE2020" w:rsidP="00BE2020">
      <w:pPr>
        <w:pStyle w:val="ListParagraph"/>
        <w:jc w:val="both"/>
        <w:rPr>
          <w:rFonts w:ascii="Garamond" w:hAnsi="Garamond"/>
        </w:rPr>
      </w:pPr>
    </w:p>
    <w:p w:rsidR="00BE2020" w:rsidRDefault="00BE2020" w:rsidP="00BE2020">
      <w:pPr>
        <w:pStyle w:val="ListParagraph"/>
        <w:numPr>
          <w:ilvl w:val="0"/>
          <w:numId w:val="1"/>
        </w:numPr>
        <w:spacing w:after="0" w:line="240" w:lineRule="auto"/>
        <w:jc w:val="both"/>
        <w:rPr>
          <w:rFonts w:ascii="Garamond" w:hAnsi="Garamond"/>
        </w:rPr>
      </w:pPr>
      <w:r w:rsidRPr="00E04453">
        <w:rPr>
          <w:rFonts w:ascii="Garamond" w:hAnsi="Garamond"/>
        </w:rPr>
        <w:t xml:space="preserve">Know the main arguments of the readings. Do not try to memorize the details of each article (percentages, numbers, etc). Rather, concentrate on the main points of the article. You should be able to provide a brief summary (four to five sentences) of each article if asked to do so. </w:t>
      </w:r>
    </w:p>
    <w:p w:rsidR="003769B1" w:rsidRPr="003769B1" w:rsidRDefault="003769B1" w:rsidP="003769B1">
      <w:pPr>
        <w:pStyle w:val="ListParagraph"/>
        <w:rPr>
          <w:rFonts w:ascii="Garamond" w:hAnsi="Garamond"/>
        </w:rPr>
      </w:pPr>
    </w:p>
    <w:p w:rsidR="003769B1" w:rsidRPr="00E04453" w:rsidRDefault="003769B1" w:rsidP="00BE2020">
      <w:pPr>
        <w:pStyle w:val="ListParagraph"/>
        <w:numPr>
          <w:ilvl w:val="0"/>
          <w:numId w:val="1"/>
        </w:numPr>
        <w:spacing w:after="0" w:line="240" w:lineRule="auto"/>
        <w:jc w:val="both"/>
        <w:rPr>
          <w:rFonts w:ascii="Garamond" w:hAnsi="Garamond"/>
        </w:rPr>
      </w:pPr>
      <w:r>
        <w:rPr>
          <w:rFonts w:ascii="Garamond" w:hAnsi="Garamond"/>
        </w:rPr>
        <w:t xml:space="preserve">Pay specific attention to particular concepts that I highlight below. Revisit them in the readings. </w:t>
      </w:r>
      <w:bookmarkStart w:id="0" w:name="_GoBack"/>
      <w:bookmarkEnd w:id="0"/>
    </w:p>
    <w:p w:rsidR="00BE2020" w:rsidRPr="00E04453" w:rsidRDefault="00BE2020" w:rsidP="00BE2020">
      <w:pPr>
        <w:rPr>
          <w:rFonts w:ascii="Garamond" w:hAnsi="Garamond"/>
        </w:rPr>
      </w:pPr>
    </w:p>
    <w:p w:rsidR="00BE2020" w:rsidRPr="00E04453" w:rsidRDefault="00BE2020" w:rsidP="00BE2020">
      <w:pPr>
        <w:rPr>
          <w:rFonts w:ascii="Garamond" w:hAnsi="Garamond"/>
        </w:rPr>
      </w:pPr>
      <w:r w:rsidRPr="00E04453">
        <w:rPr>
          <w:rFonts w:ascii="Garamond" w:hAnsi="Garamond"/>
        </w:rPr>
        <w:t xml:space="preserve">Key concepts: </w:t>
      </w:r>
    </w:p>
    <w:p w:rsidR="00D5369F" w:rsidRPr="00E04453" w:rsidRDefault="00D5369F" w:rsidP="00BE2020">
      <w:pPr>
        <w:rPr>
          <w:rFonts w:ascii="Garamond" w:hAnsi="Garamond"/>
        </w:rPr>
      </w:pPr>
    </w:p>
    <w:p w:rsidR="00D5369F" w:rsidRPr="00E04453" w:rsidRDefault="00D5369F" w:rsidP="00BE2020">
      <w:pPr>
        <w:rPr>
          <w:rFonts w:ascii="Garamond" w:hAnsi="Garamond"/>
        </w:rPr>
      </w:pPr>
      <w:r w:rsidRPr="00E04453">
        <w:rPr>
          <w:rFonts w:ascii="Garamond" w:hAnsi="Garamond"/>
        </w:rPr>
        <w:t>Farley "Racial Identities in 2000"</w:t>
      </w:r>
      <w:r w:rsidR="007056E9" w:rsidRPr="00E04453">
        <w:rPr>
          <w:rFonts w:ascii="Garamond" w:hAnsi="Garamond"/>
        </w:rPr>
        <w:t xml:space="preserve"> (Website</w:t>
      </w:r>
      <w:r w:rsidRPr="00E04453">
        <w:rPr>
          <w:rFonts w:ascii="Garamond" w:hAnsi="Garamond"/>
        </w:rPr>
        <w:t>)</w:t>
      </w:r>
    </w:p>
    <w:p w:rsidR="007056E9" w:rsidRPr="00E04453" w:rsidRDefault="007056E9" w:rsidP="00D5369F">
      <w:pPr>
        <w:pStyle w:val="ListParagraph"/>
        <w:numPr>
          <w:ilvl w:val="0"/>
          <w:numId w:val="2"/>
        </w:numPr>
        <w:rPr>
          <w:rFonts w:ascii="Garamond" w:hAnsi="Garamond"/>
        </w:rPr>
      </w:pPr>
      <w:r w:rsidRPr="00E04453">
        <w:rPr>
          <w:rFonts w:ascii="Garamond" w:hAnsi="Garamond"/>
        </w:rPr>
        <w:t xml:space="preserve">Race, Ethnicity and Culture </w:t>
      </w:r>
      <w:r w:rsidRPr="00E04453">
        <w:rPr>
          <w:rFonts w:ascii="Garamond" w:hAnsi="Garamond"/>
        </w:rPr>
        <w:t>(be able to distinguish between each of these)</w:t>
      </w:r>
    </w:p>
    <w:p w:rsidR="00D5369F" w:rsidRPr="00E04453" w:rsidRDefault="00D5369F" w:rsidP="00D5369F">
      <w:pPr>
        <w:pStyle w:val="ListParagraph"/>
        <w:numPr>
          <w:ilvl w:val="0"/>
          <w:numId w:val="2"/>
        </w:numPr>
        <w:rPr>
          <w:rFonts w:ascii="Garamond" w:hAnsi="Garamond"/>
        </w:rPr>
      </w:pPr>
      <w:r w:rsidRPr="00E04453">
        <w:rPr>
          <w:rFonts w:ascii="Garamond" w:hAnsi="Garamond"/>
        </w:rPr>
        <w:t>Ascribed categories</w:t>
      </w:r>
      <w:r w:rsidR="00A11B61" w:rsidRPr="00E04453">
        <w:rPr>
          <w:rFonts w:ascii="Garamond" w:hAnsi="Garamond"/>
        </w:rPr>
        <w:t xml:space="preserve"> (vs. categories that one chooses)</w:t>
      </w:r>
    </w:p>
    <w:p w:rsidR="00D5369F" w:rsidRPr="00E04453" w:rsidRDefault="00D5369F" w:rsidP="00D5369F">
      <w:pPr>
        <w:pStyle w:val="ListParagraph"/>
        <w:numPr>
          <w:ilvl w:val="0"/>
          <w:numId w:val="2"/>
        </w:numPr>
        <w:rPr>
          <w:rFonts w:ascii="Garamond" w:hAnsi="Garamond"/>
        </w:rPr>
      </w:pPr>
      <w:r w:rsidRPr="00E04453">
        <w:rPr>
          <w:rFonts w:ascii="Garamond" w:hAnsi="Garamond"/>
        </w:rPr>
        <w:t>Categories on the U.S. Census (Importance of</w:t>
      </w:r>
      <w:r w:rsidR="007056E9" w:rsidRPr="00E04453">
        <w:rPr>
          <w:rFonts w:ascii="Garamond" w:hAnsi="Garamond"/>
        </w:rPr>
        <w:t xml:space="preserve"> changes made to</w:t>
      </w:r>
      <w:r w:rsidRPr="00E04453">
        <w:rPr>
          <w:rFonts w:ascii="Garamond" w:hAnsi="Garamond"/>
        </w:rPr>
        <w:t xml:space="preserve"> 2000 Census) </w:t>
      </w:r>
    </w:p>
    <w:p w:rsidR="00D5369F" w:rsidRPr="00E04453" w:rsidRDefault="00D5369F" w:rsidP="00D5369F">
      <w:pPr>
        <w:pStyle w:val="ListParagraph"/>
        <w:numPr>
          <w:ilvl w:val="0"/>
          <w:numId w:val="2"/>
        </w:numPr>
        <w:rPr>
          <w:rFonts w:ascii="Garamond" w:hAnsi="Garamond"/>
        </w:rPr>
      </w:pPr>
      <w:r w:rsidRPr="00E04453">
        <w:rPr>
          <w:rFonts w:ascii="Garamond" w:hAnsi="Garamond"/>
        </w:rPr>
        <w:t xml:space="preserve">Trends evident in 2000 Census (Intermarriage between groups, for example.) </w:t>
      </w:r>
    </w:p>
    <w:p w:rsidR="00D5369F" w:rsidRPr="00E04453" w:rsidRDefault="00D5369F" w:rsidP="007056E9">
      <w:pPr>
        <w:rPr>
          <w:rFonts w:ascii="Garamond" w:hAnsi="Garamond"/>
        </w:rPr>
      </w:pPr>
      <w:r w:rsidRPr="00E04453">
        <w:rPr>
          <w:rFonts w:ascii="Garamond" w:hAnsi="Garamond"/>
        </w:rPr>
        <w:t>Ethnic Groups (Max Weber "Ethnic Groups”)</w:t>
      </w:r>
    </w:p>
    <w:p w:rsidR="00D5369F" w:rsidRPr="00E04453" w:rsidRDefault="004A022E" w:rsidP="00D5369F">
      <w:pPr>
        <w:pStyle w:val="ListParagraph"/>
        <w:numPr>
          <w:ilvl w:val="0"/>
          <w:numId w:val="3"/>
        </w:numPr>
        <w:rPr>
          <w:rFonts w:ascii="Garamond" w:hAnsi="Garamond"/>
        </w:rPr>
      </w:pPr>
      <w:r w:rsidRPr="00E04453">
        <w:rPr>
          <w:rFonts w:ascii="Garamond" w:hAnsi="Garamond"/>
        </w:rPr>
        <w:t>Relationship between “closure” and the development of “ethnic groups”.</w:t>
      </w:r>
    </w:p>
    <w:p w:rsidR="004A022E" w:rsidRPr="00E04453" w:rsidRDefault="004A022E" w:rsidP="00D5369F">
      <w:pPr>
        <w:pStyle w:val="ListParagraph"/>
        <w:numPr>
          <w:ilvl w:val="0"/>
          <w:numId w:val="3"/>
        </w:numPr>
        <w:rPr>
          <w:rFonts w:ascii="Garamond" w:hAnsi="Garamond"/>
        </w:rPr>
      </w:pPr>
      <w:r w:rsidRPr="00E04453">
        <w:rPr>
          <w:rFonts w:ascii="Garamond" w:hAnsi="Garamond"/>
        </w:rPr>
        <w:t xml:space="preserve">Potential causes of “ethnic groups”. </w:t>
      </w:r>
    </w:p>
    <w:p w:rsidR="004C1522" w:rsidRPr="00E04453" w:rsidRDefault="004C1522" w:rsidP="00D5369F">
      <w:pPr>
        <w:pStyle w:val="ListParagraph"/>
        <w:numPr>
          <w:ilvl w:val="0"/>
          <w:numId w:val="3"/>
        </w:numPr>
        <w:rPr>
          <w:rFonts w:ascii="Garamond" w:hAnsi="Garamond"/>
        </w:rPr>
      </w:pPr>
      <w:r w:rsidRPr="00E04453">
        <w:rPr>
          <w:rFonts w:ascii="Garamond" w:hAnsi="Garamond"/>
        </w:rPr>
        <w:t xml:space="preserve">Videos: Diabetes and the Pima; African Americans and Pre-Mature Birth Rates; The Garifuna in New York. </w:t>
      </w:r>
    </w:p>
    <w:p w:rsidR="007056E9" w:rsidRPr="00E04453" w:rsidRDefault="007056E9" w:rsidP="007056E9">
      <w:pPr>
        <w:rPr>
          <w:rFonts w:ascii="Garamond" w:hAnsi="Garamond"/>
        </w:rPr>
      </w:pPr>
    </w:p>
    <w:p w:rsidR="007056E9" w:rsidRPr="00E04453" w:rsidRDefault="007056E9" w:rsidP="007056E9">
      <w:pPr>
        <w:rPr>
          <w:rFonts w:ascii="Garamond" w:hAnsi="Garamond"/>
        </w:rPr>
      </w:pPr>
    </w:p>
    <w:p w:rsidR="007056E9" w:rsidRPr="00E04453" w:rsidRDefault="007056E9" w:rsidP="007056E9">
      <w:pPr>
        <w:rPr>
          <w:rFonts w:ascii="Garamond" w:hAnsi="Garamond"/>
        </w:rPr>
      </w:pPr>
      <w:r w:rsidRPr="00E04453">
        <w:rPr>
          <w:rFonts w:ascii="Garamond" w:hAnsi="Garamond"/>
        </w:rPr>
        <w:t>“’Race’ and the Construction of Human Identity” by Audrey Smedley (Website)</w:t>
      </w:r>
    </w:p>
    <w:p w:rsidR="007056E9" w:rsidRPr="00E04453" w:rsidRDefault="007056E9" w:rsidP="007056E9">
      <w:pPr>
        <w:pStyle w:val="ListParagraph"/>
        <w:numPr>
          <w:ilvl w:val="0"/>
          <w:numId w:val="4"/>
        </w:numPr>
        <w:rPr>
          <w:rFonts w:ascii="Garamond" w:hAnsi="Garamond"/>
        </w:rPr>
      </w:pPr>
      <w:r w:rsidRPr="00E04453">
        <w:rPr>
          <w:rFonts w:ascii="Garamond" w:hAnsi="Garamond"/>
        </w:rPr>
        <w:t xml:space="preserve">Race in history of human identity (Why does Smedley argue that ‘race’ is a rather new construction?) </w:t>
      </w:r>
    </w:p>
    <w:p w:rsidR="007056E9" w:rsidRPr="00E04453" w:rsidRDefault="007056E9" w:rsidP="007056E9">
      <w:pPr>
        <w:pStyle w:val="ListParagraph"/>
        <w:numPr>
          <w:ilvl w:val="0"/>
          <w:numId w:val="4"/>
        </w:numPr>
        <w:rPr>
          <w:rFonts w:ascii="Garamond" w:hAnsi="Garamond"/>
        </w:rPr>
      </w:pPr>
      <w:r w:rsidRPr="00E04453">
        <w:rPr>
          <w:rFonts w:ascii="Garamond" w:hAnsi="Garamond"/>
        </w:rPr>
        <w:lastRenderedPageBreak/>
        <w:t xml:space="preserve">Importance of language as historic “visa” into foreign communities. </w:t>
      </w:r>
    </w:p>
    <w:p w:rsidR="007056E9" w:rsidRPr="00E04453" w:rsidRDefault="007056E9" w:rsidP="007056E9">
      <w:pPr>
        <w:pStyle w:val="ListParagraph"/>
        <w:numPr>
          <w:ilvl w:val="0"/>
          <w:numId w:val="4"/>
        </w:numPr>
        <w:rPr>
          <w:rFonts w:ascii="Garamond" w:hAnsi="Garamond"/>
        </w:rPr>
      </w:pPr>
      <w:r w:rsidRPr="00E04453">
        <w:rPr>
          <w:rFonts w:ascii="Garamond" w:hAnsi="Garamond"/>
        </w:rPr>
        <w:t xml:space="preserve">Role of race in the conquest of the Americas (North, South and Central) </w:t>
      </w:r>
    </w:p>
    <w:p w:rsidR="007056E9" w:rsidRPr="00E04453" w:rsidRDefault="007056E9" w:rsidP="007056E9">
      <w:pPr>
        <w:pStyle w:val="ListParagraph"/>
        <w:numPr>
          <w:ilvl w:val="0"/>
          <w:numId w:val="4"/>
        </w:numPr>
        <w:rPr>
          <w:rFonts w:ascii="Garamond" w:hAnsi="Garamond"/>
        </w:rPr>
      </w:pPr>
      <w:r w:rsidRPr="00E04453">
        <w:rPr>
          <w:rFonts w:ascii="Garamond" w:hAnsi="Garamond"/>
        </w:rPr>
        <w:t>Caste system in Latin America vs. Race in U.S. Colonies.</w:t>
      </w:r>
    </w:p>
    <w:p w:rsidR="007056E9" w:rsidRPr="00E04453" w:rsidRDefault="007056E9" w:rsidP="007056E9">
      <w:pPr>
        <w:pStyle w:val="ListParagraph"/>
        <w:numPr>
          <w:ilvl w:val="0"/>
          <w:numId w:val="4"/>
        </w:numPr>
        <w:rPr>
          <w:rFonts w:ascii="Garamond" w:hAnsi="Garamond"/>
        </w:rPr>
      </w:pPr>
      <w:r w:rsidRPr="00E04453">
        <w:rPr>
          <w:rFonts w:ascii="Garamond" w:hAnsi="Garamond"/>
        </w:rPr>
        <w:t xml:space="preserve">Video: Race in Modern Bolivia. </w:t>
      </w:r>
    </w:p>
    <w:p w:rsidR="007056E9" w:rsidRPr="00E04453" w:rsidRDefault="00B55144" w:rsidP="00B55144">
      <w:pPr>
        <w:rPr>
          <w:rFonts w:ascii="Garamond" w:hAnsi="Garamond"/>
        </w:rPr>
      </w:pPr>
      <w:r w:rsidRPr="00E04453">
        <w:rPr>
          <w:rFonts w:ascii="Garamond" w:hAnsi="Garamond"/>
          <w:i/>
        </w:rPr>
        <w:t xml:space="preserve">Imagined Communities </w:t>
      </w:r>
      <w:r w:rsidRPr="00E04453">
        <w:rPr>
          <w:rFonts w:ascii="Garamond" w:hAnsi="Garamond"/>
        </w:rPr>
        <w:t>by Benedict Anderson (Website)</w:t>
      </w:r>
    </w:p>
    <w:p w:rsidR="00B55144" w:rsidRPr="00E04453" w:rsidRDefault="00A77E44" w:rsidP="00B55144">
      <w:pPr>
        <w:pStyle w:val="ListParagraph"/>
        <w:numPr>
          <w:ilvl w:val="0"/>
          <w:numId w:val="5"/>
        </w:numPr>
        <w:rPr>
          <w:rFonts w:ascii="Garamond" w:hAnsi="Garamond"/>
        </w:rPr>
      </w:pPr>
      <w:r w:rsidRPr="00E04453">
        <w:rPr>
          <w:rFonts w:ascii="Garamond" w:hAnsi="Garamond"/>
        </w:rPr>
        <w:t xml:space="preserve">Understand the concept of nation as “imagined political community”. </w:t>
      </w:r>
    </w:p>
    <w:p w:rsidR="00A77E44" w:rsidRPr="00E04453" w:rsidRDefault="00A77E44" w:rsidP="00B55144">
      <w:pPr>
        <w:pStyle w:val="ListParagraph"/>
        <w:numPr>
          <w:ilvl w:val="0"/>
          <w:numId w:val="5"/>
        </w:numPr>
        <w:rPr>
          <w:rFonts w:ascii="Garamond" w:hAnsi="Garamond"/>
        </w:rPr>
      </w:pPr>
      <w:r w:rsidRPr="00E04453">
        <w:rPr>
          <w:rFonts w:ascii="Garamond" w:hAnsi="Garamond"/>
        </w:rPr>
        <w:t>Religious kingdoms vs. Nation-states.</w:t>
      </w:r>
    </w:p>
    <w:p w:rsidR="00A77E44" w:rsidRPr="00E04453" w:rsidRDefault="00A77E44" w:rsidP="00B55144">
      <w:pPr>
        <w:pStyle w:val="ListParagraph"/>
        <w:numPr>
          <w:ilvl w:val="0"/>
          <w:numId w:val="5"/>
        </w:numPr>
        <w:rPr>
          <w:rFonts w:ascii="Garamond" w:hAnsi="Garamond"/>
        </w:rPr>
      </w:pPr>
      <w:r w:rsidRPr="00E04453">
        <w:rPr>
          <w:rFonts w:ascii="Garamond" w:hAnsi="Garamond"/>
        </w:rPr>
        <w:t>Relationship between the emergence of the nation and the advent of modern racism.</w:t>
      </w:r>
      <w:r w:rsidR="009A0F86" w:rsidRPr="00E04453">
        <w:rPr>
          <w:rFonts w:ascii="Garamond" w:hAnsi="Garamond"/>
        </w:rPr>
        <w:t xml:space="preserve"> (Revisit the term “creoles”.)</w:t>
      </w:r>
    </w:p>
    <w:p w:rsidR="006979E6" w:rsidRPr="00E04453" w:rsidRDefault="006979E6" w:rsidP="006979E6">
      <w:pPr>
        <w:jc w:val="both"/>
        <w:rPr>
          <w:rFonts w:ascii="Garamond" w:hAnsi="Garamond"/>
        </w:rPr>
      </w:pPr>
      <w:r w:rsidRPr="00E04453">
        <w:rPr>
          <w:rFonts w:ascii="Garamond" w:hAnsi="Garamond"/>
        </w:rPr>
        <w:t>REG, Chapter 3, pp. 101-134.</w:t>
      </w:r>
    </w:p>
    <w:p w:rsidR="006979E6" w:rsidRDefault="00E04453" w:rsidP="00E04453">
      <w:pPr>
        <w:pStyle w:val="ListParagraph"/>
        <w:numPr>
          <w:ilvl w:val="0"/>
          <w:numId w:val="6"/>
        </w:numPr>
        <w:jc w:val="both"/>
        <w:rPr>
          <w:rFonts w:ascii="Garamond" w:hAnsi="Garamond"/>
        </w:rPr>
      </w:pPr>
      <w:r w:rsidRPr="00E04453">
        <w:rPr>
          <w:rFonts w:ascii="Garamond" w:hAnsi="Garamond"/>
        </w:rPr>
        <w:t>Racial Hierarchy in Pre-Industrial U.S.</w:t>
      </w:r>
      <w:r>
        <w:rPr>
          <w:rFonts w:ascii="Garamond" w:hAnsi="Garamond"/>
        </w:rPr>
        <w:t xml:space="preserve"> (look back to hierarchy triangle in Prezi slides)</w:t>
      </w:r>
      <w:r w:rsidR="000D0441">
        <w:rPr>
          <w:rFonts w:ascii="Garamond" w:hAnsi="Garamond"/>
        </w:rPr>
        <w:t>.</w:t>
      </w:r>
    </w:p>
    <w:p w:rsidR="00E04453" w:rsidRDefault="00E04453" w:rsidP="00E04453">
      <w:pPr>
        <w:pStyle w:val="ListParagraph"/>
        <w:numPr>
          <w:ilvl w:val="0"/>
          <w:numId w:val="6"/>
        </w:numPr>
        <w:jc w:val="both"/>
        <w:rPr>
          <w:rFonts w:ascii="Garamond" w:hAnsi="Garamond"/>
        </w:rPr>
      </w:pPr>
      <w:r>
        <w:rPr>
          <w:rFonts w:ascii="Garamond" w:hAnsi="Garamond"/>
        </w:rPr>
        <w:t>Indentured Servants vs. African Slaves (pros/cons of each)</w:t>
      </w:r>
      <w:r w:rsidR="000D0441">
        <w:rPr>
          <w:rFonts w:ascii="Garamond" w:hAnsi="Garamond"/>
        </w:rPr>
        <w:t>.</w:t>
      </w:r>
    </w:p>
    <w:p w:rsidR="00E04453" w:rsidRDefault="000D0441" w:rsidP="00E04453">
      <w:pPr>
        <w:pStyle w:val="ListParagraph"/>
        <w:numPr>
          <w:ilvl w:val="0"/>
          <w:numId w:val="6"/>
        </w:numPr>
        <w:jc w:val="both"/>
        <w:rPr>
          <w:rFonts w:ascii="Garamond" w:hAnsi="Garamond"/>
        </w:rPr>
      </w:pPr>
      <w:r>
        <w:rPr>
          <w:rFonts w:ascii="Garamond" w:hAnsi="Garamond"/>
        </w:rPr>
        <w:t>Gender and Slavery. (Ex: Role of white women in exploitation of African slaves.)</w:t>
      </w:r>
    </w:p>
    <w:p w:rsidR="000D0441" w:rsidRDefault="00155C9E" w:rsidP="00E04453">
      <w:pPr>
        <w:pStyle w:val="ListParagraph"/>
        <w:numPr>
          <w:ilvl w:val="0"/>
          <w:numId w:val="6"/>
        </w:numPr>
        <w:jc w:val="both"/>
        <w:rPr>
          <w:rFonts w:ascii="Garamond" w:hAnsi="Garamond"/>
        </w:rPr>
      </w:pPr>
      <w:r>
        <w:rPr>
          <w:rFonts w:ascii="Garamond" w:hAnsi="Garamond"/>
        </w:rPr>
        <w:t>Slave-led Development (British South Seas, Stockholders, comparison to modern day mutual funds, compounding effects, etc.)</w:t>
      </w:r>
    </w:p>
    <w:p w:rsidR="00155C9E" w:rsidRDefault="00155C9E" w:rsidP="00E04453">
      <w:pPr>
        <w:pStyle w:val="ListParagraph"/>
        <w:numPr>
          <w:ilvl w:val="0"/>
          <w:numId w:val="6"/>
        </w:numPr>
        <w:jc w:val="both"/>
        <w:rPr>
          <w:rFonts w:ascii="Garamond" w:hAnsi="Garamond"/>
        </w:rPr>
      </w:pPr>
      <w:r w:rsidRPr="00155C9E">
        <w:rPr>
          <w:rFonts w:ascii="Garamond" w:hAnsi="Garamond"/>
          <w:i/>
        </w:rPr>
        <w:t>Dred Scott v. Sanford</w:t>
      </w:r>
      <w:r>
        <w:rPr>
          <w:rFonts w:ascii="Garamond" w:hAnsi="Garamond"/>
        </w:rPr>
        <w:t xml:space="preserve"> 1857 (Legal precedent and importance.)</w:t>
      </w:r>
    </w:p>
    <w:p w:rsidR="00155C9E" w:rsidRDefault="00155C9E" w:rsidP="00517CE3">
      <w:pPr>
        <w:pStyle w:val="ListParagraph"/>
        <w:jc w:val="both"/>
        <w:rPr>
          <w:rFonts w:ascii="Garamond" w:hAnsi="Garamond"/>
        </w:rPr>
      </w:pPr>
    </w:p>
    <w:p w:rsidR="00517CE3" w:rsidRDefault="00517CE3" w:rsidP="00517CE3">
      <w:pPr>
        <w:jc w:val="both"/>
        <w:rPr>
          <w:rFonts w:ascii="Garamond" w:hAnsi="Garamond"/>
        </w:rPr>
      </w:pPr>
      <w:r>
        <w:rPr>
          <w:rFonts w:ascii="Garamond" w:hAnsi="Garamond"/>
        </w:rPr>
        <w:t xml:space="preserve">“The Tribal Twenties,” pp. 264-286 from </w:t>
      </w:r>
      <w:r>
        <w:rPr>
          <w:rFonts w:ascii="Garamond" w:hAnsi="Garamond"/>
          <w:i/>
        </w:rPr>
        <w:t>Strangers in the Land</w:t>
      </w:r>
      <w:r>
        <w:rPr>
          <w:rFonts w:ascii="Garamond" w:hAnsi="Garamond"/>
        </w:rPr>
        <w:t xml:space="preserve"> by John Higham. (Website.)</w:t>
      </w:r>
    </w:p>
    <w:p w:rsidR="00517CE3" w:rsidRDefault="00517CE3" w:rsidP="00517CE3">
      <w:pPr>
        <w:pStyle w:val="ListParagraph"/>
        <w:numPr>
          <w:ilvl w:val="0"/>
          <w:numId w:val="7"/>
        </w:numPr>
        <w:jc w:val="both"/>
        <w:rPr>
          <w:rFonts w:ascii="Garamond" w:hAnsi="Garamond"/>
        </w:rPr>
      </w:pPr>
      <w:r>
        <w:rPr>
          <w:rFonts w:ascii="Garamond" w:hAnsi="Garamond"/>
        </w:rPr>
        <w:t xml:space="preserve">Nativism </w:t>
      </w:r>
    </w:p>
    <w:p w:rsidR="00517CE3" w:rsidRDefault="00517CE3" w:rsidP="00517CE3">
      <w:pPr>
        <w:pStyle w:val="ListParagraph"/>
        <w:numPr>
          <w:ilvl w:val="0"/>
          <w:numId w:val="7"/>
        </w:numPr>
        <w:jc w:val="both"/>
        <w:rPr>
          <w:rFonts w:ascii="Garamond" w:hAnsi="Garamond"/>
        </w:rPr>
      </w:pPr>
      <w:r>
        <w:rPr>
          <w:rFonts w:ascii="Garamond" w:hAnsi="Garamond"/>
        </w:rPr>
        <w:t xml:space="preserve">Scientific Racism (eugenics) </w:t>
      </w:r>
    </w:p>
    <w:p w:rsidR="00517CE3" w:rsidRPr="00517CE3" w:rsidRDefault="00517CE3" w:rsidP="00517CE3">
      <w:pPr>
        <w:pStyle w:val="ListParagraph"/>
        <w:numPr>
          <w:ilvl w:val="1"/>
          <w:numId w:val="7"/>
        </w:numPr>
        <w:jc w:val="both"/>
        <w:rPr>
          <w:rFonts w:ascii="Garamond" w:hAnsi="Garamond"/>
        </w:rPr>
      </w:pPr>
      <w:r w:rsidRPr="00517CE3">
        <w:rPr>
          <w:rFonts w:ascii="Garamond" w:hAnsi="Garamond"/>
        </w:rPr>
        <w:t xml:space="preserve">Madison Grant, The Passing of the Great Race (1916). </w:t>
      </w:r>
    </w:p>
    <w:p w:rsidR="00517CE3" w:rsidRDefault="00517CE3" w:rsidP="00517CE3">
      <w:pPr>
        <w:pStyle w:val="ListParagraph"/>
        <w:numPr>
          <w:ilvl w:val="1"/>
          <w:numId w:val="7"/>
        </w:numPr>
        <w:jc w:val="both"/>
        <w:rPr>
          <w:rFonts w:ascii="Garamond" w:hAnsi="Garamond"/>
        </w:rPr>
      </w:pPr>
      <w:r w:rsidRPr="00517CE3">
        <w:rPr>
          <w:rFonts w:ascii="Garamond" w:hAnsi="Garamond"/>
        </w:rPr>
        <w:t>Three tiers: Nordic, Alpines and Mediterranean.</w:t>
      </w:r>
    </w:p>
    <w:p w:rsidR="00517CE3" w:rsidRDefault="00517CE3" w:rsidP="00517CE3">
      <w:pPr>
        <w:pStyle w:val="ListParagraph"/>
        <w:numPr>
          <w:ilvl w:val="1"/>
          <w:numId w:val="7"/>
        </w:numPr>
        <w:jc w:val="both"/>
        <w:rPr>
          <w:rFonts w:ascii="Garamond" w:hAnsi="Garamond"/>
        </w:rPr>
      </w:pPr>
      <w:r>
        <w:rPr>
          <w:rFonts w:ascii="Garamond" w:hAnsi="Garamond"/>
        </w:rPr>
        <w:t>BBC Documentary on Scientific Racism</w:t>
      </w:r>
    </w:p>
    <w:p w:rsidR="00517CE3" w:rsidRDefault="00517CE3" w:rsidP="00517CE3">
      <w:pPr>
        <w:pStyle w:val="ListParagraph"/>
        <w:numPr>
          <w:ilvl w:val="1"/>
          <w:numId w:val="7"/>
        </w:numPr>
        <w:jc w:val="both"/>
        <w:rPr>
          <w:rFonts w:ascii="Garamond" w:hAnsi="Garamond"/>
        </w:rPr>
      </w:pPr>
      <w:r>
        <w:rPr>
          <w:rFonts w:ascii="Garamond" w:hAnsi="Garamond"/>
        </w:rPr>
        <w:t>1924 Immigra</w:t>
      </w:r>
      <w:r w:rsidR="00F11A7E">
        <w:rPr>
          <w:rFonts w:ascii="Garamond" w:hAnsi="Garamond"/>
        </w:rPr>
        <w:t>tion Act (</w:t>
      </w:r>
      <w:r w:rsidR="00067326">
        <w:rPr>
          <w:rFonts w:ascii="Garamond" w:hAnsi="Garamond"/>
        </w:rPr>
        <w:t xml:space="preserve">quotas: </w:t>
      </w:r>
      <w:r w:rsidR="00F11A7E">
        <w:rPr>
          <w:rFonts w:ascii="Garamond" w:hAnsi="Garamond"/>
        </w:rPr>
        <w:t>incorporation of eugenic principals.)</w:t>
      </w:r>
    </w:p>
    <w:p w:rsidR="00067326" w:rsidRPr="00067326" w:rsidRDefault="00067326" w:rsidP="00067326">
      <w:pPr>
        <w:pStyle w:val="ListParagraph"/>
        <w:numPr>
          <w:ilvl w:val="1"/>
          <w:numId w:val="7"/>
        </w:numPr>
        <w:jc w:val="both"/>
        <w:rPr>
          <w:rFonts w:ascii="Garamond" w:hAnsi="Garamond"/>
        </w:rPr>
      </w:pPr>
      <w:r w:rsidRPr="00067326">
        <w:rPr>
          <w:rFonts w:ascii="Garamond" w:hAnsi="Garamond"/>
        </w:rPr>
        <w:t>“Racism and Research: The Case of the Tuskegee Syphilis Study.” (Website.)</w:t>
      </w:r>
    </w:p>
    <w:p w:rsidR="00517CE3" w:rsidRPr="00D62BDD" w:rsidRDefault="006447D1" w:rsidP="00D62BDD">
      <w:pPr>
        <w:jc w:val="both"/>
        <w:rPr>
          <w:rFonts w:ascii="Garamond" w:hAnsi="Garamond"/>
        </w:rPr>
      </w:pPr>
      <w:r w:rsidRPr="00D62BDD">
        <w:rPr>
          <w:rFonts w:ascii="Garamond" w:hAnsi="Garamond"/>
        </w:rPr>
        <w:t>REG, Chapter 1, pp.</w:t>
      </w:r>
      <w:r w:rsidRPr="00D62BDD">
        <w:rPr>
          <w:rFonts w:ascii="Garamond" w:hAnsi="Garamond"/>
        </w:rPr>
        <w:t xml:space="preserve"> 1-50</w:t>
      </w:r>
      <w:r w:rsidRPr="00D62BDD">
        <w:rPr>
          <w:rFonts w:ascii="Garamond" w:hAnsi="Garamond"/>
        </w:rPr>
        <w:t>.</w:t>
      </w:r>
    </w:p>
    <w:p w:rsidR="006447D1" w:rsidRDefault="00FB2F2B" w:rsidP="00D62BDD">
      <w:pPr>
        <w:pStyle w:val="ListParagraph"/>
        <w:numPr>
          <w:ilvl w:val="0"/>
          <w:numId w:val="7"/>
        </w:numPr>
        <w:jc w:val="both"/>
        <w:rPr>
          <w:rFonts w:ascii="Garamond" w:hAnsi="Garamond"/>
        </w:rPr>
      </w:pPr>
      <w:r>
        <w:rPr>
          <w:rFonts w:ascii="Garamond" w:hAnsi="Garamond"/>
        </w:rPr>
        <w:t>Race, Prejudice, Discriminations (distinguish between)</w:t>
      </w:r>
    </w:p>
    <w:p w:rsidR="00FB2F2B" w:rsidRDefault="00D061A8" w:rsidP="00D62BDD">
      <w:pPr>
        <w:pStyle w:val="ListParagraph"/>
        <w:numPr>
          <w:ilvl w:val="0"/>
          <w:numId w:val="7"/>
        </w:numPr>
        <w:jc w:val="both"/>
        <w:rPr>
          <w:rFonts w:ascii="Garamond" w:hAnsi="Garamond"/>
        </w:rPr>
      </w:pPr>
      <w:r>
        <w:rPr>
          <w:rFonts w:ascii="Garamond" w:hAnsi="Garamond"/>
        </w:rPr>
        <w:t>Kaffirs (Race in South Africa)</w:t>
      </w:r>
    </w:p>
    <w:p w:rsidR="00D061A8" w:rsidRDefault="00D061A8" w:rsidP="00D62BDD">
      <w:pPr>
        <w:pStyle w:val="ListParagraph"/>
        <w:numPr>
          <w:ilvl w:val="0"/>
          <w:numId w:val="7"/>
        </w:numPr>
        <w:jc w:val="both"/>
        <w:rPr>
          <w:rFonts w:ascii="Garamond" w:hAnsi="Garamond"/>
        </w:rPr>
      </w:pPr>
      <w:r>
        <w:rPr>
          <w:rFonts w:ascii="Garamond" w:hAnsi="Garamond"/>
        </w:rPr>
        <w:t>Robert Merton’s typology of prejudice (4 types in all)</w:t>
      </w:r>
    </w:p>
    <w:p w:rsidR="00D061A8" w:rsidRDefault="00D061A8" w:rsidP="00D62BDD">
      <w:pPr>
        <w:pStyle w:val="ListParagraph"/>
        <w:numPr>
          <w:ilvl w:val="0"/>
          <w:numId w:val="7"/>
        </w:numPr>
        <w:jc w:val="both"/>
        <w:rPr>
          <w:rFonts w:ascii="Garamond" w:hAnsi="Garamond"/>
        </w:rPr>
      </w:pPr>
      <w:r>
        <w:rPr>
          <w:rFonts w:ascii="Garamond" w:hAnsi="Garamond"/>
        </w:rPr>
        <w:t xml:space="preserve">Individual Racism vs. Institutional Racism. </w:t>
      </w:r>
    </w:p>
    <w:p w:rsidR="00D061A8" w:rsidRDefault="00277554" w:rsidP="00D62BDD">
      <w:pPr>
        <w:pStyle w:val="ListParagraph"/>
        <w:numPr>
          <w:ilvl w:val="0"/>
          <w:numId w:val="7"/>
        </w:numPr>
        <w:jc w:val="both"/>
        <w:rPr>
          <w:rFonts w:ascii="Garamond" w:hAnsi="Garamond"/>
        </w:rPr>
      </w:pPr>
      <w:r w:rsidRPr="00277554">
        <w:rPr>
          <w:rFonts w:ascii="Garamond" w:hAnsi="Garamond"/>
        </w:rPr>
        <w:t>“Using Racial and Ethnic Concepts”</w:t>
      </w:r>
      <w:r>
        <w:rPr>
          <w:rFonts w:ascii="Garamond" w:hAnsi="Garamond"/>
        </w:rPr>
        <w:t xml:space="preserve"> </w:t>
      </w:r>
      <w:r w:rsidRPr="00277554">
        <w:rPr>
          <w:rFonts w:ascii="Garamond" w:hAnsi="Garamond"/>
        </w:rPr>
        <w:t>by Debra Van Ausdale and Joe R. Feagin</w:t>
      </w:r>
    </w:p>
    <w:p w:rsidR="00277554" w:rsidRPr="00277554" w:rsidRDefault="00277554" w:rsidP="00D62BDD">
      <w:pPr>
        <w:pStyle w:val="ListParagraph"/>
        <w:numPr>
          <w:ilvl w:val="0"/>
          <w:numId w:val="7"/>
        </w:numPr>
        <w:jc w:val="both"/>
        <w:rPr>
          <w:rFonts w:ascii="Garamond" w:hAnsi="Garamond"/>
        </w:rPr>
      </w:pPr>
      <w:r>
        <w:rPr>
          <w:rFonts w:ascii="Garamond" w:hAnsi="Garamond"/>
        </w:rPr>
        <w:t>Video: A Class Divided</w:t>
      </w:r>
    </w:p>
    <w:p w:rsidR="00277554" w:rsidRPr="00D62BDD" w:rsidRDefault="00277554" w:rsidP="00D62BDD">
      <w:pPr>
        <w:jc w:val="both"/>
        <w:rPr>
          <w:rFonts w:ascii="Garamond" w:hAnsi="Garamond"/>
        </w:rPr>
      </w:pPr>
      <w:r w:rsidRPr="00D62BDD">
        <w:rPr>
          <w:rFonts w:ascii="Garamond" w:hAnsi="Garamond"/>
        </w:rPr>
        <w:t>REG, Chapter 4, pp. 135-155 and pp. 168-171.</w:t>
      </w:r>
    </w:p>
    <w:p w:rsidR="00277554" w:rsidRPr="00D62BDD" w:rsidRDefault="00277554" w:rsidP="00D62BDD">
      <w:pPr>
        <w:jc w:val="both"/>
        <w:rPr>
          <w:rFonts w:ascii="Garamond" w:hAnsi="Garamond"/>
        </w:rPr>
      </w:pPr>
      <w:r w:rsidRPr="00D62BDD">
        <w:rPr>
          <w:rFonts w:ascii="Garamond" w:hAnsi="Garamond"/>
        </w:rPr>
        <w:lastRenderedPageBreak/>
        <w:t>REGC, Chapter 1, “Affirmative Actions: Is it time to end racial preferences?” pp. 1-22. (Website.)</w:t>
      </w:r>
    </w:p>
    <w:p w:rsidR="00277554" w:rsidRDefault="00277554" w:rsidP="00D62BDD">
      <w:pPr>
        <w:pStyle w:val="ListParagraph"/>
        <w:numPr>
          <w:ilvl w:val="0"/>
          <w:numId w:val="7"/>
        </w:numPr>
        <w:jc w:val="both"/>
        <w:rPr>
          <w:rFonts w:ascii="Garamond" w:hAnsi="Garamond"/>
        </w:rPr>
      </w:pPr>
      <w:r>
        <w:rPr>
          <w:rFonts w:ascii="Garamond" w:hAnsi="Garamond"/>
        </w:rPr>
        <w:t>"K</w:t>
      </w:r>
      <w:r w:rsidRPr="00277554">
        <w:rPr>
          <w:rFonts w:ascii="Garamond" w:hAnsi="Garamond"/>
        </w:rPr>
        <w:t>itchenette"</w:t>
      </w:r>
    </w:p>
    <w:p w:rsidR="00277554" w:rsidRDefault="00277554" w:rsidP="00D62BDD">
      <w:pPr>
        <w:pStyle w:val="ListParagraph"/>
        <w:numPr>
          <w:ilvl w:val="0"/>
          <w:numId w:val="7"/>
        </w:numPr>
        <w:jc w:val="both"/>
        <w:rPr>
          <w:rFonts w:ascii="Garamond" w:hAnsi="Garamond"/>
        </w:rPr>
      </w:pPr>
      <w:r w:rsidRPr="00277554">
        <w:rPr>
          <w:rFonts w:ascii="Garamond" w:hAnsi="Garamond"/>
        </w:rPr>
        <w:t>Dred Scott v. Sandford, 60 U.S. 393 (1857)</w:t>
      </w:r>
    </w:p>
    <w:p w:rsidR="00277554" w:rsidRDefault="00277554" w:rsidP="00D62BDD">
      <w:pPr>
        <w:pStyle w:val="ListParagraph"/>
        <w:numPr>
          <w:ilvl w:val="0"/>
          <w:numId w:val="7"/>
        </w:numPr>
        <w:jc w:val="both"/>
        <w:rPr>
          <w:rFonts w:ascii="Garamond" w:hAnsi="Garamond"/>
        </w:rPr>
      </w:pPr>
      <w:r w:rsidRPr="00277554">
        <w:rPr>
          <w:rFonts w:ascii="Garamond" w:hAnsi="Garamond"/>
        </w:rPr>
        <w:t>Fourteenth Amendment (1867)</w:t>
      </w:r>
    </w:p>
    <w:p w:rsidR="00277554" w:rsidRDefault="00277554" w:rsidP="00D62BDD">
      <w:pPr>
        <w:pStyle w:val="ListParagraph"/>
        <w:numPr>
          <w:ilvl w:val="0"/>
          <w:numId w:val="7"/>
        </w:numPr>
        <w:jc w:val="both"/>
        <w:rPr>
          <w:rFonts w:ascii="Garamond" w:hAnsi="Garamond"/>
        </w:rPr>
      </w:pPr>
      <w:r w:rsidRPr="00277554">
        <w:rPr>
          <w:rFonts w:ascii="Garamond" w:hAnsi="Garamond"/>
        </w:rPr>
        <w:t>Plessy v. Ferguson, 163 U.S. 537 (1896)</w:t>
      </w:r>
    </w:p>
    <w:p w:rsidR="00277554" w:rsidRDefault="00277554" w:rsidP="00D62BDD">
      <w:pPr>
        <w:pStyle w:val="ListParagraph"/>
        <w:numPr>
          <w:ilvl w:val="0"/>
          <w:numId w:val="7"/>
        </w:numPr>
        <w:jc w:val="both"/>
        <w:rPr>
          <w:rFonts w:ascii="Garamond" w:hAnsi="Garamond"/>
        </w:rPr>
      </w:pPr>
      <w:r w:rsidRPr="00277554">
        <w:rPr>
          <w:rFonts w:ascii="Garamond" w:hAnsi="Garamond"/>
        </w:rPr>
        <w:t>Brown v. Board of Education of Topeka, 347 U.S. 483 (1954)</w:t>
      </w:r>
    </w:p>
    <w:p w:rsidR="00277554" w:rsidRDefault="00277554" w:rsidP="00D62BDD">
      <w:pPr>
        <w:pStyle w:val="ListParagraph"/>
        <w:numPr>
          <w:ilvl w:val="0"/>
          <w:numId w:val="7"/>
        </w:numPr>
        <w:jc w:val="both"/>
        <w:rPr>
          <w:rFonts w:ascii="Garamond" w:hAnsi="Garamond"/>
        </w:rPr>
      </w:pPr>
      <w:r w:rsidRPr="00277554">
        <w:rPr>
          <w:rFonts w:ascii="Garamond" w:hAnsi="Garamond"/>
        </w:rPr>
        <w:t>"The Meaning of Emancipation According to Black Women" by Angela Davis</w:t>
      </w:r>
      <w:r>
        <w:rPr>
          <w:rFonts w:ascii="Garamond" w:hAnsi="Garamond"/>
        </w:rPr>
        <w:t>.</w:t>
      </w:r>
    </w:p>
    <w:p w:rsidR="00277554" w:rsidRPr="00D62BDD" w:rsidRDefault="00277554" w:rsidP="00D62BDD">
      <w:pPr>
        <w:jc w:val="both"/>
        <w:rPr>
          <w:rFonts w:ascii="Garamond" w:hAnsi="Garamond"/>
        </w:rPr>
      </w:pPr>
      <w:r w:rsidRPr="00D62BDD">
        <w:rPr>
          <w:rFonts w:ascii="Garamond" w:hAnsi="Garamond"/>
        </w:rPr>
        <w:t>"What is Affirmative Action?" by Fred L. Pincus</w:t>
      </w:r>
      <w:r w:rsidRPr="00D62BDD">
        <w:rPr>
          <w:rFonts w:ascii="Garamond" w:hAnsi="Garamond"/>
        </w:rPr>
        <w:t>. (REG.)</w:t>
      </w:r>
    </w:p>
    <w:p w:rsidR="00924FE1" w:rsidRDefault="00924FE1" w:rsidP="00D62BDD">
      <w:pPr>
        <w:pStyle w:val="ListParagraph"/>
        <w:numPr>
          <w:ilvl w:val="0"/>
          <w:numId w:val="7"/>
        </w:numPr>
        <w:jc w:val="both"/>
        <w:rPr>
          <w:rFonts w:ascii="Garamond" w:hAnsi="Garamond"/>
        </w:rPr>
      </w:pPr>
      <w:r>
        <w:rPr>
          <w:rFonts w:ascii="Garamond" w:hAnsi="Garamond"/>
        </w:rPr>
        <w:t>Quotas/Good-faith effort, etc. (Know how affirmative action works in practice!)</w:t>
      </w:r>
    </w:p>
    <w:p w:rsidR="00A407BA" w:rsidRPr="00D62BDD" w:rsidRDefault="00A407BA" w:rsidP="00D62BDD">
      <w:pPr>
        <w:jc w:val="both"/>
        <w:rPr>
          <w:rFonts w:ascii="Garamond" w:hAnsi="Garamond"/>
        </w:rPr>
      </w:pPr>
      <w:r w:rsidRPr="00D62BDD">
        <w:rPr>
          <w:rFonts w:ascii="Garamond" w:hAnsi="Garamond"/>
        </w:rPr>
        <w:t>REG, Chapter 5, pp.</w:t>
      </w:r>
      <w:r w:rsidRPr="00D62BDD">
        <w:rPr>
          <w:rFonts w:ascii="Garamond" w:hAnsi="Garamond"/>
        </w:rPr>
        <w:t xml:space="preserve"> 173-226</w:t>
      </w:r>
      <w:r w:rsidRPr="00D62BDD">
        <w:rPr>
          <w:rFonts w:ascii="Garamond" w:hAnsi="Garamond"/>
        </w:rPr>
        <w:t>.</w:t>
      </w:r>
    </w:p>
    <w:p w:rsidR="00924FE1" w:rsidRDefault="00A407BA" w:rsidP="00D62BDD">
      <w:pPr>
        <w:pStyle w:val="ListParagraph"/>
        <w:numPr>
          <w:ilvl w:val="0"/>
          <w:numId w:val="7"/>
        </w:numPr>
        <w:jc w:val="both"/>
        <w:rPr>
          <w:rFonts w:ascii="Garamond" w:hAnsi="Garamond"/>
        </w:rPr>
      </w:pPr>
      <w:r w:rsidRPr="00A407BA">
        <w:rPr>
          <w:rFonts w:ascii="Garamond" w:hAnsi="Garamond"/>
        </w:rPr>
        <w:t>"I'm not racist but..."</w:t>
      </w:r>
      <w:r>
        <w:rPr>
          <w:rFonts w:ascii="Garamond" w:hAnsi="Garamond"/>
        </w:rPr>
        <w:t xml:space="preserve"> </w:t>
      </w:r>
      <w:r w:rsidRPr="00A407BA">
        <w:rPr>
          <w:rFonts w:ascii="Garamond" w:hAnsi="Garamond"/>
        </w:rPr>
        <w:t>by Eduardo Bonilla-Silva and Tyrone A. Forman.</w:t>
      </w:r>
      <w:r>
        <w:rPr>
          <w:rFonts w:ascii="Garamond" w:hAnsi="Garamond"/>
        </w:rPr>
        <w:t xml:space="preserve"> (Colorblind racism.)</w:t>
      </w:r>
    </w:p>
    <w:p w:rsidR="00A407BA" w:rsidRPr="00A407BA" w:rsidRDefault="00A407BA" w:rsidP="00D62BDD">
      <w:pPr>
        <w:pStyle w:val="ListParagraph"/>
        <w:numPr>
          <w:ilvl w:val="0"/>
          <w:numId w:val="7"/>
        </w:numPr>
        <w:jc w:val="both"/>
        <w:rPr>
          <w:rFonts w:ascii="Garamond" w:hAnsi="Garamond"/>
        </w:rPr>
      </w:pPr>
      <w:r w:rsidRPr="00A407BA">
        <w:rPr>
          <w:rFonts w:ascii="Garamond" w:hAnsi="Garamond"/>
        </w:rPr>
        <w:t>"Race and Criminalization"by Angela Davis.</w:t>
      </w:r>
    </w:p>
    <w:p w:rsidR="00A407BA" w:rsidRDefault="00A407BA" w:rsidP="00D62BDD">
      <w:pPr>
        <w:pStyle w:val="ListParagraph"/>
        <w:numPr>
          <w:ilvl w:val="0"/>
          <w:numId w:val="7"/>
        </w:numPr>
        <w:jc w:val="both"/>
        <w:rPr>
          <w:rFonts w:ascii="Garamond" w:hAnsi="Garamond"/>
        </w:rPr>
      </w:pPr>
      <w:r w:rsidRPr="00A407BA">
        <w:rPr>
          <w:rFonts w:ascii="Garamond" w:hAnsi="Garamond"/>
        </w:rPr>
        <w:t>"The Elephant in the Living Room"</w:t>
      </w:r>
      <w:r>
        <w:rPr>
          <w:rFonts w:ascii="Garamond" w:hAnsi="Garamond"/>
        </w:rPr>
        <w:t xml:space="preserve"> </w:t>
      </w:r>
      <w:r w:rsidRPr="00A407BA">
        <w:rPr>
          <w:rFonts w:ascii="Garamond" w:hAnsi="Garamond"/>
        </w:rPr>
        <w:t>by Kathleen Odell Korgen</w:t>
      </w:r>
      <w:r>
        <w:rPr>
          <w:rFonts w:ascii="Garamond" w:hAnsi="Garamond"/>
        </w:rPr>
        <w:t xml:space="preserve">. (3 tactics used.) </w:t>
      </w:r>
    </w:p>
    <w:p w:rsidR="00A407BA" w:rsidRDefault="00A407BA" w:rsidP="00D62BDD">
      <w:pPr>
        <w:pStyle w:val="ListParagraph"/>
        <w:numPr>
          <w:ilvl w:val="0"/>
          <w:numId w:val="7"/>
        </w:numPr>
        <w:jc w:val="both"/>
        <w:rPr>
          <w:rFonts w:ascii="Garamond" w:hAnsi="Garamond"/>
        </w:rPr>
      </w:pPr>
      <w:r>
        <w:rPr>
          <w:rFonts w:ascii="Garamond" w:hAnsi="Garamond"/>
        </w:rPr>
        <w:t>“A More Perfect Union” speech by Obama.</w:t>
      </w:r>
    </w:p>
    <w:p w:rsidR="00A407BA" w:rsidRPr="00D62BDD" w:rsidRDefault="00A407BA" w:rsidP="00D62BDD">
      <w:pPr>
        <w:jc w:val="both"/>
        <w:rPr>
          <w:rFonts w:ascii="Garamond" w:hAnsi="Garamond"/>
        </w:rPr>
      </w:pPr>
      <w:r w:rsidRPr="00D62BDD">
        <w:rPr>
          <w:rFonts w:ascii="Garamond" w:hAnsi="Garamond"/>
        </w:rPr>
        <w:t>REG, Chapter 6, pp. 227-247.</w:t>
      </w:r>
    </w:p>
    <w:p w:rsidR="00A407BA" w:rsidRPr="00D62BDD" w:rsidRDefault="00A407BA" w:rsidP="00D62BDD">
      <w:pPr>
        <w:jc w:val="both"/>
        <w:rPr>
          <w:rFonts w:ascii="Garamond" w:hAnsi="Garamond"/>
        </w:rPr>
      </w:pPr>
      <w:r w:rsidRPr="00D62BDD">
        <w:rPr>
          <w:rFonts w:ascii="Garamond" w:hAnsi="Garamond"/>
        </w:rPr>
        <w:t>REGC, Chapter 6, pp. 117-140. (Website.)</w:t>
      </w:r>
    </w:p>
    <w:p w:rsidR="00A407BA" w:rsidRDefault="00A407BA" w:rsidP="00D62BDD">
      <w:pPr>
        <w:pStyle w:val="ListParagraph"/>
        <w:numPr>
          <w:ilvl w:val="0"/>
          <w:numId w:val="7"/>
        </w:numPr>
        <w:jc w:val="both"/>
        <w:rPr>
          <w:rFonts w:ascii="Garamond" w:hAnsi="Garamond"/>
        </w:rPr>
      </w:pPr>
      <w:r>
        <w:rPr>
          <w:rFonts w:ascii="Garamond" w:hAnsi="Garamond"/>
        </w:rPr>
        <w:t xml:space="preserve">Racism breeds racism in reverse (Blood quantum, etc.) </w:t>
      </w:r>
    </w:p>
    <w:p w:rsidR="00A407BA" w:rsidRDefault="00A407BA" w:rsidP="00D62BDD">
      <w:pPr>
        <w:pStyle w:val="ListParagraph"/>
        <w:numPr>
          <w:ilvl w:val="0"/>
          <w:numId w:val="7"/>
        </w:numPr>
        <w:jc w:val="both"/>
        <w:rPr>
          <w:rFonts w:ascii="Garamond" w:hAnsi="Garamond"/>
        </w:rPr>
      </w:pPr>
      <w:r>
        <w:rPr>
          <w:rFonts w:ascii="Garamond" w:hAnsi="Garamond"/>
        </w:rPr>
        <w:t xml:space="preserve">Social shifts (education, urbanization, language loss, poverty levels, etc.) </w:t>
      </w:r>
    </w:p>
    <w:p w:rsidR="00A407BA" w:rsidRDefault="00A407BA" w:rsidP="00D62BDD">
      <w:pPr>
        <w:pStyle w:val="ListParagraph"/>
        <w:numPr>
          <w:ilvl w:val="0"/>
          <w:numId w:val="7"/>
        </w:numPr>
        <w:jc w:val="both"/>
        <w:rPr>
          <w:rFonts w:ascii="Garamond" w:hAnsi="Garamond"/>
        </w:rPr>
      </w:pPr>
      <w:r>
        <w:rPr>
          <w:rFonts w:ascii="Garamond" w:hAnsi="Garamond"/>
        </w:rPr>
        <w:t xml:space="preserve">Video: </w:t>
      </w:r>
      <w:r w:rsidRPr="00A407BA">
        <w:rPr>
          <w:rFonts w:ascii="Garamond" w:hAnsi="Garamond"/>
        </w:rPr>
        <w:t>Aaron Huey: America's Native Prisoners of War.</w:t>
      </w:r>
    </w:p>
    <w:p w:rsidR="00A407BA" w:rsidRPr="00A407BA" w:rsidRDefault="00A407BA" w:rsidP="00D62BDD">
      <w:pPr>
        <w:pStyle w:val="ListParagraph"/>
        <w:numPr>
          <w:ilvl w:val="0"/>
          <w:numId w:val="7"/>
        </w:numPr>
        <w:jc w:val="both"/>
        <w:rPr>
          <w:rFonts w:ascii="Garamond" w:hAnsi="Garamond"/>
        </w:rPr>
      </w:pPr>
      <w:r>
        <w:rPr>
          <w:rFonts w:ascii="Garamond" w:hAnsi="Garamond"/>
        </w:rPr>
        <w:t xml:space="preserve">Economic development and reservations. </w:t>
      </w:r>
    </w:p>
    <w:p w:rsidR="00277554" w:rsidRPr="00277554" w:rsidRDefault="00277554" w:rsidP="00277554">
      <w:pPr>
        <w:pStyle w:val="ListParagraph"/>
        <w:jc w:val="both"/>
        <w:rPr>
          <w:rFonts w:ascii="Garamond" w:hAnsi="Garamond"/>
        </w:rPr>
      </w:pPr>
    </w:p>
    <w:p w:rsidR="00517CE3" w:rsidRPr="00517CE3" w:rsidRDefault="00517CE3" w:rsidP="00517CE3">
      <w:pPr>
        <w:jc w:val="both"/>
        <w:rPr>
          <w:rFonts w:ascii="Garamond" w:hAnsi="Garamond"/>
        </w:rPr>
      </w:pPr>
    </w:p>
    <w:p w:rsidR="00A77E44" w:rsidRPr="00E04453" w:rsidRDefault="00A77E44" w:rsidP="006979E6">
      <w:pPr>
        <w:rPr>
          <w:rFonts w:ascii="Garamond" w:hAnsi="Garamond"/>
        </w:rPr>
      </w:pPr>
    </w:p>
    <w:p w:rsidR="00AD7A1A" w:rsidRPr="00E04453" w:rsidRDefault="00AD7A1A" w:rsidP="00AD7A1A">
      <w:pPr>
        <w:rPr>
          <w:rFonts w:ascii="Garamond" w:hAnsi="Garamond"/>
        </w:rPr>
      </w:pPr>
    </w:p>
    <w:p w:rsidR="00D5369F" w:rsidRPr="00E04453" w:rsidRDefault="00D5369F" w:rsidP="00BE2020">
      <w:pPr>
        <w:rPr>
          <w:rFonts w:ascii="Garamond" w:hAnsi="Garamond"/>
        </w:rPr>
      </w:pPr>
    </w:p>
    <w:p w:rsidR="00BE2020" w:rsidRPr="00E04453" w:rsidRDefault="00BE2020"/>
    <w:sectPr w:rsidR="00BE2020" w:rsidRPr="00E0445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FA3" w:rsidRDefault="00CD0FA3" w:rsidP="00BE2020">
      <w:pPr>
        <w:spacing w:after="0" w:line="240" w:lineRule="auto"/>
      </w:pPr>
      <w:r>
        <w:separator/>
      </w:r>
    </w:p>
  </w:endnote>
  <w:endnote w:type="continuationSeparator" w:id="0">
    <w:p w:rsidR="00CD0FA3" w:rsidRDefault="00CD0FA3" w:rsidP="00BE2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FA3" w:rsidRDefault="00CD0FA3" w:rsidP="00BE2020">
      <w:pPr>
        <w:spacing w:after="0" w:line="240" w:lineRule="auto"/>
      </w:pPr>
      <w:r>
        <w:separator/>
      </w:r>
    </w:p>
  </w:footnote>
  <w:footnote w:type="continuationSeparator" w:id="0">
    <w:p w:rsidR="00CD0FA3" w:rsidRDefault="00CD0FA3" w:rsidP="00BE2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020" w:rsidRDefault="00EE159C" w:rsidP="00BE2020">
    <w:pPr>
      <w:pStyle w:val="Header"/>
    </w:pPr>
    <w:r>
      <w:t>Sociology 365</w:t>
    </w:r>
    <w:r w:rsidR="00BE2020">
      <w:t xml:space="preserve"> </w:t>
    </w:r>
  </w:p>
  <w:p w:rsidR="00BE2020" w:rsidRDefault="00BE2020" w:rsidP="00BE2020">
    <w:pPr>
      <w:pStyle w:val="Header"/>
    </w:pPr>
    <w:r>
      <w:t>Midterm Exam Review</w:t>
    </w:r>
  </w:p>
  <w:p w:rsidR="00BE2020" w:rsidRDefault="00BE2020" w:rsidP="00BE2020">
    <w:pPr>
      <w:pStyle w:val="Header"/>
    </w:pPr>
    <w:r>
      <w:t>Spring 2012</w:t>
    </w:r>
  </w:p>
  <w:p w:rsidR="00BE2020" w:rsidRDefault="00BE2020" w:rsidP="00BE2020">
    <w:pPr>
      <w:pStyle w:val="Header"/>
    </w:pPr>
  </w:p>
  <w:p w:rsidR="00BE2020" w:rsidRDefault="00BE2020">
    <w:pPr>
      <w:pStyle w:val="Header"/>
    </w:pPr>
  </w:p>
  <w:p w:rsidR="00BE2020" w:rsidRDefault="00BE20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6693C"/>
    <w:multiLevelType w:val="hybridMultilevel"/>
    <w:tmpl w:val="73785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523EC5"/>
    <w:multiLevelType w:val="hybridMultilevel"/>
    <w:tmpl w:val="BAC84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4736FA"/>
    <w:multiLevelType w:val="hybridMultilevel"/>
    <w:tmpl w:val="B8A88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225843"/>
    <w:multiLevelType w:val="hybridMultilevel"/>
    <w:tmpl w:val="D38A0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475F82"/>
    <w:multiLevelType w:val="hybridMultilevel"/>
    <w:tmpl w:val="7E62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346150"/>
    <w:multiLevelType w:val="hybridMultilevel"/>
    <w:tmpl w:val="135C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1513EA"/>
    <w:multiLevelType w:val="hybridMultilevel"/>
    <w:tmpl w:val="9706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20"/>
    <w:rsid w:val="00067326"/>
    <w:rsid w:val="000D0441"/>
    <w:rsid w:val="00155C9E"/>
    <w:rsid w:val="00277554"/>
    <w:rsid w:val="00300677"/>
    <w:rsid w:val="003769B1"/>
    <w:rsid w:val="004A022E"/>
    <w:rsid w:val="004C1522"/>
    <w:rsid w:val="004E2703"/>
    <w:rsid w:val="00517CE3"/>
    <w:rsid w:val="006447D1"/>
    <w:rsid w:val="006979E6"/>
    <w:rsid w:val="007056E9"/>
    <w:rsid w:val="00924FE1"/>
    <w:rsid w:val="009A0F86"/>
    <w:rsid w:val="00A11B61"/>
    <w:rsid w:val="00A407BA"/>
    <w:rsid w:val="00A77E44"/>
    <w:rsid w:val="00AD7A1A"/>
    <w:rsid w:val="00B55144"/>
    <w:rsid w:val="00BE2020"/>
    <w:rsid w:val="00CD0FA3"/>
    <w:rsid w:val="00D061A8"/>
    <w:rsid w:val="00D5369F"/>
    <w:rsid w:val="00D62BDD"/>
    <w:rsid w:val="00E04453"/>
    <w:rsid w:val="00EE159C"/>
    <w:rsid w:val="00F11A7E"/>
    <w:rsid w:val="00FB2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20"/>
  </w:style>
  <w:style w:type="paragraph" w:styleId="Footer">
    <w:name w:val="footer"/>
    <w:basedOn w:val="Normal"/>
    <w:link w:val="FooterChar"/>
    <w:uiPriority w:val="99"/>
    <w:unhideWhenUsed/>
    <w:rsid w:val="00BE2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20"/>
  </w:style>
  <w:style w:type="paragraph" w:styleId="BalloonText">
    <w:name w:val="Balloon Text"/>
    <w:basedOn w:val="Normal"/>
    <w:link w:val="BalloonTextChar"/>
    <w:uiPriority w:val="99"/>
    <w:semiHidden/>
    <w:unhideWhenUsed/>
    <w:rsid w:val="00BE2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20"/>
    <w:rPr>
      <w:rFonts w:ascii="Tahoma" w:hAnsi="Tahoma" w:cs="Tahoma"/>
      <w:sz w:val="16"/>
      <w:szCs w:val="16"/>
    </w:rPr>
  </w:style>
  <w:style w:type="paragraph" w:styleId="ListParagraph">
    <w:name w:val="List Paragraph"/>
    <w:basedOn w:val="Normal"/>
    <w:uiPriority w:val="34"/>
    <w:qFormat/>
    <w:rsid w:val="00BE20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20"/>
  </w:style>
  <w:style w:type="paragraph" w:styleId="Footer">
    <w:name w:val="footer"/>
    <w:basedOn w:val="Normal"/>
    <w:link w:val="FooterChar"/>
    <w:uiPriority w:val="99"/>
    <w:unhideWhenUsed/>
    <w:rsid w:val="00BE2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20"/>
  </w:style>
  <w:style w:type="paragraph" w:styleId="BalloonText">
    <w:name w:val="Balloon Text"/>
    <w:basedOn w:val="Normal"/>
    <w:link w:val="BalloonTextChar"/>
    <w:uiPriority w:val="99"/>
    <w:semiHidden/>
    <w:unhideWhenUsed/>
    <w:rsid w:val="00BE2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20"/>
    <w:rPr>
      <w:rFonts w:ascii="Tahoma" w:hAnsi="Tahoma" w:cs="Tahoma"/>
      <w:sz w:val="16"/>
      <w:szCs w:val="16"/>
    </w:rPr>
  </w:style>
  <w:style w:type="paragraph" w:styleId="ListParagraph">
    <w:name w:val="List Paragraph"/>
    <w:basedOn w:val="Normal"/>
    <w:uiPriority w:val="34"/>
    <w:qFormat/>
    <w:rsid w:val="00BE2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1067</TotalTime>
  <Pages>3</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25</cp:revision>
  <dcterms:created xsi:type="dcterms:W3CDTF">2012-03-09T14:09:00Z</dcterms:created>
  <dcterms:modified xsi:type="dcterms:W3CDTF">2012-03-10T16:28:00Z</dcterms:modified>
</cp:coreProperties>
</file>