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CC5" w:rsidRPr="00BA6CC5" w:rsidRDefault="00BA6CC5" w:rsidP="00BA6CC5">
      <w:pPr>
        <w:jc w:val="both"/>
        <w:rPr>
          <w:b/>
          <w:color w:val="000000"/>
          <w:sz w:val="27"/>
          <w:szCs w:val="27"/>
        </w:rPr>
      </w:pPr>
      <w:r w:rsidRPr="00BA6CC5">
        <w:rPr>
          <w:b/>
          <w:color w:val="000000"/>
          <w:sz w:val="27"/>
          <w:szCs w:val="27"/>
        </w:rPr>
        <w:t>Encomienda</w:t>
      </w:r>
    </w:p>
    <w:p w:rsidR="00BA6CC5" w:rsidRDefault="00BA6CC5" w:rsidP="00BA6CC5">
      <w:pPr>
        <w:jc w:val="both"/>
        <w:rPr>
          <w:rStyle w:val="apple-style-span"/>
        </w:rPr>
      </w:pPr>
      <w:r>
        <w:rPr>
          <w:rStyle w:val="apple-style-span"/>
          <w:color w:val="000000"/>
          <w:sz w:val="27"/>
          <w:szCs w:val="27"/>
        </w:rPr>
        <w:pict>
          <v:rect id="_x0000_i1025" style="width:0;height:1.5pt" o:hralign="center" o:hrstd="t" o:hr="t" fillcolor="#a0a0a0" stroked="f"/>
        </w:pict>
      </w:r>
    </w:p>
    <w:p w:rsidR="00BA6CC5" w:rsidRDefault="00BA6CC5" w:rsidP="00BA6CC5">
      <w:pPr>
        <w:pStyle w:val="NormalWeb"/>
        <w:jc w:val="both"/>
      </w:pPr>
      <w:bookmarkStart w:id="0" w:name="IBAMRLE.223"/>
      <w:bookmarkEnd w:id="0"/>
      <w:r>
        <w:rPr>
          <w:color w:val="000000"/>
          <w:sz w:val="27"/>
          <w:szCs w:val="27"/>
        </w:rPr>
        <w:t>The</w:t>
      </w:r>
      <w:r>
        <w:rPr>
          <w:rStyle w:val="apple-converted-space"/>
          <w:color w:val="000000"/>
          <w:sz w:val="27"/>
          <w:szCs w:val="27"/>
        </w:rPr>
        <w:t> </w:t>
      </w:r>
      <w:proofErr w:type="spellStart"/>
      <w:r>
        <w:rPr>
          <w:rStyle w:val="bodyi"/>
          <w:color w:val="000000"/>
          <w:sz w:val="27"/>
          <w:szCs w:val="27"/>
        </w:rPr>
        <w:t>encomienda</w:t>
      </w:r>
      <w:proofErr w:type="spellEnd"/>
      <w:r>
        <w:rPr>
          <w:rStyle w:val="apple-converted-space"/>
          <w:color w:val="000000"/>
          <w:sz w:val="27"/>
          <w:szCs w:val="27"/>
        </w:rPr>
        <w:t> </w:t>
      </w:r>
      <w:r>
        <w:rPr>
          <w:color w:val="000000"/>
          <w:sz w:val="27"/>
          <w:szCs w:val="27"/>
        </w:rPr>
        <w:t xml:space="preserve">was a grant of Indians to Spanish conquistadors for their individual effort in the Spanish conquest of the New World. Because the Crown did not itself have the resources to finance the conquest, it therefore depended on the contributions of private individuals. Legally, only the Crown could grant </w:t>
      </w:r>
      <w:proofErr w:type="spellStart"/>
      <w:r>
        <w:rPr>
          <w:color w:val="000000"/>
          <w:sz w:val="27"/>
          <w:szCs w:val="27"/>
        </w:rPr>
        <w:t>encomiendas</w:t>
      </w:r>
      <w:proofErr w:type="spellEnd"/>
      <w:r>
        <w:rPr>
          <w:color w:val="000000"/>
          <w:sz w:val="27"/>
          <w:szCs w:val="27"/>
        </w:rPr>
        <w:t>, but leaders of successful expeditions, such as Hernando Cortés in Mexico, Francisco Pizarro in Peru, Gonzalo Jiménez de Quesada in Colombia, and Pedro de Valdivia in Chile, parceled them out to their followers, and the Crown was left with a</w:t>
      </w:r>
      <w:r>
        <w:rPr>
          <w:rStyle w:val="apple-converted-space"/>
          <w:color w:val="000000"/>
          <w:sz w:val="27"/>
          <w:szCs w:val="27"/>
        </w:rPr>
        <w:t> </w:t>
      </w:r>
      <w:r>
        <w:rPr>
          <w:rStyle w:val="bodyi"/>
          <w:color w:val="000000"/>
          <w:sz w:val="27"/>
          <w:szCs w:val="27"/>
        </w:rPr>
        <w:t>fait accompli.</w:t>
      </w:r>
    </w:p>
    <w:p w:rsidR="00BA6CC5" w:rsidRDefault="00BA6CC5" w:rsidP="00BA6CC5">
      <w:pPr>
        <w:pStyle w:val="NormalWeb"/>
        <w:jc w:val="both"/>
        <w:rPr>
          <w:color w:val="000000"/>
          <w:sz w:val="27"/>
          <w:szCs w:val="27"/>
        </w:rPr>
      </w:pPr>
      <w:r>
        <w:rPr>
          <w:color w:val="000000"/>
          <w:sz w:val="27"/>
          <w:szCs w:val="27"/>
        </w:rPr>
        <w:t>Royal authorities reacted against the worst abuses and potential threats to Crown authority. They set limits and worked to circumscribe the power of the grantees, the</w:t>
      </w:r>
      <w:r>
        <w:rPr>
          <w:rStyle w:val="apple-converted-space"/>
          <w:color w:val="000000"/>
          <w:sz w:val="27"/>
          <w:szCs w:val="27"/>
        </w:rPr>
        <w:t> </w:t>
      </w:r>
      <w:proofErr w:type="spellStart"/>
      <w:r>
        <w:rPr>
          <w:rStyle w:val="bodyi"/>
          <w:color w:val="000000"/>
          <w:sz w:val="27"/>
          <w:szCs w:val="27"/>
        </w:rPr>
        <w:t>encomenderos</w:t>
      </w:r>
      <w:proofErr w:type="spellEnd"/>
      <w:r>
        <w:rPr>
          <w:rStyle w:val="bodyi"/>
          <w:color w:val="000000"/>
          <w:sz w:val="27"/>
          <w:szCs w:val="27"/>
        </w:rPr>
        <w:t>.</w:t>
      </w:r>
      <w:r>
        <w:rPr>
          <w:rStyle w:val="apple-converted-space"/>
          <w:color w:val="000000"/>
          <w:sz w:val="27"/>
          <w:szCs w:val="27"/>
        </w:rPr>
        <w:t> </w:t>
      </w:r>
      <w:r>
        <w:rPr>
          <w:color w:val="000000"/>
          <w:sz w:val="27"/>
          <w:szCs w:val="27"/>
        </w:rPr>
        <w:t xml:space="preserve">In 1542, the New Laws banned Indian slavery, prohibited the granting of new </w:t>
      </w:r>
      <w:proofErr w:type="spellStart"/>
      <w:r>
        <w:rPr>
          <w:color w:val="000000"/>
          <w:sz w:val="27"/>
          <w:szCs w:val="27"/>
        </w:rPr>
        <w:t>encomiendas</w:t>
      </w:r>
      <w:proofErr w:type="spellEnd"/>
      <w:r>
        <w:rPr>
          <w:color w:val="000000"/>
          <w:sz w:val="27"/>
          <w:szCs w:val="27"/>
        </w:rPr>
        <w:t xml:space="preserve">, and programmed the return of existing ones to the Crown upon the death of the current holders. However, the promulgation of the New Laws sparked significant unrest in the New World. A revolt in Peru and dissatisfaction elsewhere led to a suspension of the provisions. Piecemeal implementation became the order of the day and depended on the individual circumstances of each region and on the presence of royal authorities. Sometimes the only royal authority was the </w:t>
      </w:r>
      <w:proofErr w:type="spellStart"/>
      <w:r>
        <w:rPr>
          <w:color w:val="000000"/>
          <w:sz w:val="27"/>
          <w:szCs w:val="27"/>
        </w:rPr>
        <w:t>encomendero</w:t>
      </w:r>
      <w:proofErr w:type="spellEnd"/>
      <w:r>
        <w:rPr>
          <w:color w:val="000000"/>
          <w:sz w:val="27"/>
          <w:szCs w:val="27"/>
        </w:rPr>
        <w:t xml:space="preserve">, and in some frontier areas Indian slavery and unregulated </w:t>
      </w:r>
      <w:proofErr w:type="spellStart"/>
      <w:r>
        <w:rPr>
          <w:color w:val="000000"/>
          <w:sz w:val="27"/>
          <w:szCs w:val="27"/>
        </w:rPr>
        <w:t>encomiendas</w:t>
      </w:r>
      <w:proofErr w:type="spellEnd"/>
      <w:r>
        <w:rPr>
          <w:color w:val="000000"/>
          <w:sz w:val="27"/>
          <w:szCs w:val="27"/>
        </w:rPr>
        <w:t xml:space="preserve"> continued to the end of the colonial period. In more settled areas, like Central Mexico and the Andean Highlands, the inheritance of </w:t>
      </w:r>
      <w:proofErr w:type="spellStart"/>
      <w:r>
        <w:rPr>
          <w:color w:val="000000"/>
          <w:sz w:val="27"/>
          <w:szCs w:val="27"/>
        </w:rPr>
        <w:t>encomiendas</w:t>
      </w:r>
      <w:proofErr w:type="spellEnd"/>
      <w:r>
        <w:rPr>
          <w:color w:val="000000"/>
          <w:sz w:val="27"/>
          <w:szCs w:val="27"/>
        </w:rPr>
        <w:t xml:space="preserve"> was limited to two or three successive heirs, so that by 1600 most </w:t>
      </w:r>
      <w:proofErr w:type="spellStart"/>
      <w:r>
        <w:rPr>
          <w:color w:val="000000"/>
          <w:sz w:val="27"/>
          <w:szCs w:val="27"/>
        </w:rPr>
        <w:t>encomiendas</w:t>
      </w:r>
      <w:proofErr w:type="spellEnd"/>
      <w:r>
        <w:rPr>
          <w:color w:val="000000"/>
          <w:sz w:val="27"/>
          <w:szCs w:val="27"/>
        </w:rPr>
        <w:t xml:space="preserve"> had reverted to the Crown. And whatever the </w:t>
      </w:r>
      <w:proofErr w:type="spellStart"/>
      <w:r>
        <w:rPr>
          <w:color w:val="000000"/>
          <w:sz w:val="27"/>
          <w:szCs w:val="27"/>
        </w:rPr>
        <w:t>encomenderos</w:t>
      </w:r>
      <w:proofErr w:type="spellEnd"/>
      <w:r>
        <w:rPr>
          <w:color w:val="000000"/>
          <w:sz w:val="27"/>
          <w:szCs w:val="27"/>
        </w:rPr>
        <w:t xml:space="preserve"> were to receive from the Indians was to be overseen and regulated by royal authorities who fixed and collected the annual tribute payments. These limits and the demographic disaster visited upon the Indians made </w:t>
      </w:r>
      <w:proofErr w:type="spellStart"/>
      <w:r>
        <w:rPr>
          <w:color w:val="000000"/>
          <w:sz w:val="27"/>
          <w:szCs w:val="27"/>
        </w:rPr>
        <w:t>encomiendas</w:t>
      </w:r>
      <w:proofErr w:type="spellEnd"/>
      <w:r>
        <w:rPr>
          <w:color w:val="000000"/>
          <w:sz w:val="27"/>
          <w:szCs w:val="27"/>
        </w:rPr>
        <w:t xml:space="preserve"> far less important by the seventeenth century.</w:t>
      </w:r>
    </w:p>
    <w:p w:rsidR="00BA6CC5" w:rsidRDefault="00BA6CC5" w:rsidP="00BA6CC5">
      <w:pPr>
        <w:pStyle w:val="NormalWeb"/>
        <w:jc w:val="both"/>
        <w:rPr>
          <w:color w:val="000000"/>
          <w:sz w:val="27"/>
          <w:szCs w:val="27"/>
        </w:rPr>
      </w:pPr>
      <w:r>
        <w:rPr>
          <w:color w:val="000000"/>
          <w:sz w:val="27"/>
          <w:szCs w:val="27"/>
        </w:rPr>
        <w:t xml:space="preserve">Where Amerindian civilizations were highly developed, </w:t>
      </w:r>
      <w:proofErr w:type="spellStart"/>
      <w:r>
        <w:rPr>
          <w:color w:val="000000"/>
          <w:sz w:val="27"/>
          <w:szCs w:val="27"/>
        </w:rPr>
        <w:t>encomenderos</w:t>
      </w:r>
      <w:proofErr w:type="spellEnd"/>
      <w:r>
        <w:rPr>
          <w:color w:val="000000"/>
          <w:sz w:val="27"/>
          <w:szCs w:val="27"/>
        </w:rPr>
        <w:t xml:space="preserve"> had at their disposal native institutions that could deliver tribute and labor of another order and magnitude when compared to frontier regions. An </w:t>
      </w:r>
      <w:proofErr w:type="spellStart"/>
      <w:r>
        <w:rPr>
          <w:color w:val="000000"/>
          <w:sz w:val="27"/>
          <w:szCs w:val="27"/>
        </w:rPr>
        <w:t>encomienda</w:t>
      </w:r>
      <w:proofErr w:type="spellEnd"/>
      <w:r>
        <w:rPr>
          <w:color w:val="000000"/>
          <w:sz w:val="27"/>
          <w:szCs w:val="27"/>
        </w:rPr>
        <w:t xml:space="preserve"> of nomadic Indians was practically worthless, whereas </w:t>
      </w:r>
      <w:proofErr w:type="spellStart"/>
      <w:r>
        <w:rPr>
          <w:color w:val="000000"/>
          <w:sz w:val="27"/>
          <w:szCs w:val="27"/>
        </w:rPr>
        <w:t>encomiendas</w:t>
      </w:r>
      <w:proofErr w:type="spellEnd"/>
      <w:r>
        <w:rPr>
          <w:color w:val="000000"/>
          <w:sz w:val="27"/>
          <w:szCs w:val="27"/>
        </w:rPr>
        <w:t xml:space="preserve"> with large numbers of sedentary Indians could provide an </w:t>
      </w:r>
      <w:proofErr w:type="spellStart"/>
      <w:r>
        <w:rPr>
          <w:color w:val="000000"/>
          <w:sz w:val="27"/>
          <w:szCs w:val="27"/>
        </w:rPr>
        <w:t>encomendero</w:t>
      </w:r>
      <w:proofErr w:type="spellEnd"/>
      <w:r>
        <w:rPr>
          <w:color w:val="000000"/>
          <w:sz w:val="27"/>
          <w:szCs w:val="27"/>
        </w:rPr>
        <w:t xml:space="preserve"> with an annual income worthy of a prince. It also made it worthwhile for the Crown to bring in royal officials who would move the flow of labor and tribute away from the </w:t>
      </w:r>
      <w:proofErr w:type="spellStart"/>
      <w:r>
        <w:rPr>
          <w:color w:val="000000"/>
          <w:sz w:val="27"/>
          <w:szCs w:val="27"/>
        </w:rPr>
        <w:t>encomendero</w:t>
      </w:r>
      <w:proofErr w:type="spellEnd"/>
      <w:r>
        <w:rPr>
          <w:color w:val="000000"/>
          <w:sz w:val="27"/>
          <w:szCs w:val="27"/>
        </w:rPr>
        <w:t xml:space="preserve">. </w:t>
      </w:r>
      <w:proofErr w:type="spellStart"/>
      <w:r>
        <w:rPr>
          <w:color w:val="000000"/>
          <w:sz w:val="27"/>
          <w:szCs w:val="27"/>
        </w:rPr>
        <w:t>Encomiendas</w:t>
      </w:r>
      <w:proofErr w:type="spellEnd"/>
      <w:r>
        <w:rPr>
          <w:color w:val="000000"/>
          <w:sz w:val="27"/>
          <w:szCs w:val="27"/>
        </w:rPr>
        <w:t xml:space="preserve"> in Peru before 1560 regularly brought in 5,000 to 10,000 pesos a year in income, with some totaling as much as 50,000 pesos.</w:t>
      </w:r>
    </w:p>
    <w:p w:rsidR="00BA6CC5" w:rsidRDefault="00BA6CC5" w:rsidP="00BA6CC5">
      <w:pPr>
        <w:pStyle w:val="NormalWeb"/>
        <w:jc w:val="both"/>
        <w:rPr>
          <w:color w:val="000000"/>
          <w:sz w:val="27"/>
          <w:szCs w:val="27"/>
        </w:rPr>
      </w:pPr>
      <w:r>
        <w:rPr>
          <w:color w:val="000000"/>
          <w:sz w:val="27"/>
          <w:szCs w:val="27"/>
        </w:rPr>
        <w:lastRenderedPageBreak/>
        <w:t xml:space="preserve">In return for their </w:t>
      </w:r>
      <w:proofErr w:type="spellStart"/>
      <w:r>
        <w:rPr>
          <w:color w:val="000000"/>
          <w:sz w:val="27"/>
          <w:szCs w:val="27"/>
        </w:rPr>
        <w:t>encomienda</w:t>
      </w:r>
      <w:proofErr w:type="spellEnd"/>
      <w:r>
        <w:rPr>
          <w:color w:val="000000"/>
          <w:sz w:val="27"/>
          <w:szCs w:val="27"/>
        </w:rPr>
        <w:t xml:space="preserve"> grants, </w:t>
      </w:r>
      <w:proofErr w:type="spellStart"/>
      <w:r>
        <w:rPr>
          <w:color w:val="000000"/>
          <w:sz w:val="27"/>
          <w:szCs w:val="27"/>
        </w:rPr>
        <w:t>encomenderos</w:t>
      </w:r>
      <w:proofErr w:type="spellEnd"/>
      <w:r>
        <w:rPr>
          <w:color w:val="000000"/>
          <w:sz w:val="27"/>
          <w:szCs w:val="27"/>
        </w:rPr>
        <w:t xml:space="preserve"> had certain </w:t>
      </w:r>
      <w:proofErr w:type="spellStart"/>
      <w:r>
        <w:rPr>
          <w:color w:val="000000"/>
          <w:sz w:val="27"/>
          <w:szCs w:val="27"/>
        </w:rPr>
        <w:t>responsibilites</w:t>
      </w:r>
      <w:proofErr w:type="spellEnd"/>
      <w:r>
        <w:rPr>
          <w:color w:val="000000"/>
          <w:sz w:val="27"/>
          <w:szCs w:val="27"/>
        </w:rPr>
        <w:t xml:space="preserve">. They were viewed as guardians of the kingdom with military obligations that required them to be available and properly equipped with horses, weapons, men, and Indians whenever called into the service of the Crown. Over time the Crown replaced this personal military service with a monetary payment. </w:t>
      </w:r>
      <w:proofErr w:type="spellStart"/>
      <w:r>
        <w:rPr>
          <w:color w:val="000000"/>
          <w:sz w:val="27"/>
          <w:szCs w:val="27"/>
        </w:rPr>
        <w:t>Encomenderos</w:t>
      </w:r>
      <w:proofErr w:type="spellEnd"/>
      <w:r>
        <w:rPr>
          <w:color w:val="000000"/>
          <w:sz w:val="27"/>
          <w:szCs w:val="27"/>
        </w:rPr>
        <w:t xml:space="preserve"> were required to provide for the Christianization of their Indians and pay the necessary costs of building a church as well as a stipend for a priest. Of course, not all </w:t>
      </w:r>
      <w:proofErr w:type="spellStart"/>
      <w:r>
        <w:rPr>
          <w:color w:val="000000"/>
          <w:sz w:val="27"/>
          <w:szCs w:val="27"/>
        </w:rPr>
        <w:t>encomenderos</w:t>
      </w:r>
      <w:proofErr w:type="spellEnd"/>
      <w:r>
        <w:rPr>
          <w:color w:val="000000"/>
          <w:sz w:val="27"/>
          <w:szCs w:val="27"/>
        </w:rPr>
        <w:t xml:space="preserve"> fulfilled their obligations.</w:t>
      </w:r>
    </w:p>
    <w:p w:rsidR="00BA6CC5" w:rsidRDefault="00BA6CC5" w:rsidP="00BA6CC5">
      <w:pPr>
        <w:pStyle w:val="NormalWeb"/>
        <w:jc w:val="both"/>
        <w:rPr>
          <w:color w:val="000000"/>
          <w:sz w:val="27"/>
          <w:szCs w:val="27"/>
        </w:rPr>
      </w:pPr>
      <w:r>
        <w:rPr>
          <w:rStyle w:val="bodyi"/>
          <w:color w:val="000000"/>
          <w:sz w:val="27"/>
          <w:szCs w:val="27"/>
        </w:rPr>
        <w:t>See also:</w:t>
      </w:r>
    </w:p>
    <w:p w:rsidR="00BA6CC5" w:rsidRDefault="00BA6CC5" w:rsidP="00BA6CC5">
      <w:pPr>
        <w:pStyle w:val="NormalWeb"/>
        <w:jc w:val="both"/>
        <w:rPr>
          <w:color w:val="000000"/>
          <w:sz w:val="27"/>
          <w:szCs w:val="27"/>
        </w:rPr>
      </w:pPr>
      <w:hyperlink r:id="rId5" w:history="1">
        <w:r>
          <w:rPr>
            <w:rStyle w:val="crossref"/>
            <w:color w:val="0000FF"/>
            <w:sz w:val="27"/>
            <w:szCs w:val="27"/>
            <w:u w:val="single"/>
          </w:rPr>
          <w:t>Armies—Colonial Spanish America</w:t>
        </w:r>
      </w:hyperlink>
      <w:r>
        <w:rPr>
          <w:color w:val="000000"/>
          <w:sz w:val="27"/>
          <w:szCs w:val="27"/>
        </w:rPr>
        <w:t>;</w:t>
      </w:r>
      <w:r>
        <w:rPr>
          <w:rStyle w:val="apple-converted-space"/>
          <w:color w:val="000000"/>
          <w:sz w:val="27"/>
          <w:szCs w:val="27"/>
        </w:rPr>
        <w:t> </w:t>
      </w:r>
      <w:hyperlink r:id="rId6" w:history="1">
        <w:r>
          <w:rPr>
            <w:rStyle w:val="crossref"/>
            <w:color w:val="0000FF"/>
            <w:sz w:val="27"/>
            <w:szCs w:val="27"/>
            <w:u w:val="single"/>
          </w:rPr>
          <w:t>Borderlands</w:t>
        </w:r>
      </w:hyperlink>
      <w:r>
        <w:rPr>
          <w:color w:val="000000"/>
          <w:sz w:val="27"/>
          <w:szCs w:val="27"/>
        </w:rPr>
        <w:t>;</w:t>
      </w:r>
      <w:r>
        <w:rPr>
          <w:rStyle w:val="apple-converted-space"/>
          <w:color w:val="000000"/>
          <w:sz w:val="27"/>
          <w:szCs w:val="27"/>
        </w:rPr>
        <w:t> </w:t>
      </w:r>
      <w:hyperlink r:id="rId7" w:history="1">
        <w:r>
          <w:rPr>
            <w:rStyle w:val="crossref"/>
            <w:color w:val="0000FF"/>
            <w:sz w:val="27"/>
            <w:szCs w:val="27"/>
            <w:u w:val="single"/>
          </w:rPr>
          <w:t>Catholic Church in Spanish America</w:t>
        </w:r>
      </w:hyperlink>
      <w:r>
        <w:rPr>
          <w:color w:val="000000"/>
          <w:sz w:val="27"/>
          <w:szCs w:val="27"/>
        </w:rPr>
        <w:t>;</w:t>
      </w:r>
      <w:r>
        <w:rPr>
          <w:rStyle w:val="apple-converted-space"/>
          <w:color w:val="000000"/>
          <w:sz w:val="27"/>
          <w:szCs w:val="27"/>
        </w:rPr>
        <w:t> </w:t>
      </w:r>
      <w:hyperlink r:id="rId8" w:history="1">
        <w:r>
          <w:rPr>
            <w:rStyle w:val="crossref"/>
            <w:color w:val="0000FF"/>
            <w:sz w:val="27"/>
            <w:szCs w:val="27"/>
            <w:u w:val="single"/>
          </w:rPr>
          <w:t>Civil Wars</w:t>
        </w:r>
      </w:hyperlink>
      <w:r>
        <w:rPr>
          <w:color w:val="000000"/>
          <w:sz w:val="27"/>
          <w:szCs w:val="27"/>
        </w:rPr>
        <w:t>;</w:t>
      </w:r>
      <w:r>
        <w:rPr>
          <w:rStyle w:val="apple-converted-space"/>
          <w:color w:val="000000"/>
          <w:sz w:val="27"/>
          <w:szCs w:val="27"/>
        </w:rPr>
        <w:t> </w:t>
      </w:r>
      <w:hyperlink r:id="rId9" w:history="1">
        <w:r>
          <w:rPr>
            <w:rStyle w:val="crossref"/>
            <w:color w:val="0000FF"/>
            <w:sz w:val="27"/>
            <w:szCs w:val="27"/>
            <w:u w:val="single"/>
          </w:rPr>
          <w:t>Colonists and Settlers I–VI</w:t>
        </w:r>
      </w:hyperlink>
      <w:r>
        <w:rPr>
          <w:color w:val="000000"/>
          <w:sz w:val="27"/>
          <w:szCs w:val="27"/>
        </w:rPr>
        <w:t>;</w:t>
      </w:r>
      <w:r>
        <w:rPr>
          <w:rStyle w:val="apple-converted-space"/>
          <w:color w:val="000000"/>
          <w:sz w:val="27"/>
          <w:szCs w:val="27"/>
        </w:rPr>
        <w:t> </w:t>
      </w:r>
      <w:hyperlink r:id="rId10" w:history="1">
        <w:r>
          <w:rPr>
            <w:rStyle w:val="crossref"/>
            <w:color w:val="0000FF"/>
            <w:sz w:val="27"/>
            <w:szCs w:val="27"/>
            <w:u w:val="single"/>
          </w:rPr>
          <w:t>Columbian Exchange—Disease</w:t>
        </w:r>
      </w:hyperlink>
      <w:r>
        <w:rPr>
          <w:color w:val="000000"/>
          <w:sz w:val="27"/>
          <w:szCs w:val="27"/>
        </w:rPr>
        <w:t>;</w:t>
      </w:r>
      <w:r>
        <w:rPr>
          <w:rStyle w:val="apple-converted-space"/>
          <w:color w:val="000000"/>
          <w:sz w:val="27"/>
          <w:szCs w:val="27"/>
        </w:rPr>
        <w:t> </w:t>
      </w:r>
      <w:hyperlink r:id="rId11" w:history="1">
        <w:r>
          <w:rPr>
            <w:rStyle w:val="crossref"/>
            <w:color w:val="0000FF"/>
            <w:sz w:val="27"/>
            <w:szCs w:val="27"/>
            <w:u w:val="single"/>
          </w:rPr>
          <w:t>Conquistadors</w:t>
        </w:r>
      </w:hyperlink>
      <w:r>
        <w:rPr>
          <w:color w:val="000000"/>
          <w:sz w:val="27"/>
          <w:szCs w:val="27"/>
        </w:rPr>
        <w:t>;</w:t>
      </w:r>
      <w:r>
        <w:rPr>
          <w:rStyle w:val="apple-converted-space"/>
          <w:color w:val="000000"/>
          <w:sz w:val="27"/>
          <w:szCs w:val="27"/>
        </w:rPr>
        <w:t> </w:t>
      </w:r>
      <w:hyperlink r:id="rId12" w:history="1">
        <w:r>
          <w:rPr>
            <w:rStyle w:val="crossref"/>
            <w:color w:val="0000FF"/>
            <w:sz w:val="27"/>
            <w:szCs w:val="27"/>
            <w:u w:val="single"/>
          </w:rPr>
          <w:t>Corregidor/Corregimiento</w:t>
        </w:r>
      </w:hyperlink>
      <w:r>
        <w:rPr>
          <w:color w:val="000000"/>
          <w:sz w:val="27"/>
          <w:szCs w:val="27"/>
        </w:rPr>
        <w:t>;</w:t>
      </w:r>
      <w:r>
        <w:rPr>
          <w:rStyle w:val="apple-converted-space"/>
          <w:color w:val="000000"/>
          <w:sz w:val="27"/>
          <w:szCs w:val="27"/>
        </w:rPr>
        <w:t> </w:t>
      </w:r>
      <w:hyperlink r:id="rId13" w:history="1">
        <w:r>
          <w:rPr>
            <w:rStyle w:val="crossref"/>
            <w:color w:val="0000FF"/>
            <w:sz w:val="27"/>
            <w:szCs w:val="27"/>
            <w:u w:val="single"/>
          </w:rPr>
          <w:t>Laws—Colonial Latin America</w:t>
        </w:r>
      </w:hyperlink>
      <w:r>
        <w:rPr>
          <w:color w:val="000000"/>
          <w:sz w:val="27"/>
          <w:szCs w:val="27"/>
        </w:rPr>
        <w:t>;</w:t>
      </w:r>
      <w:r>
        <w:rPr>
          <w:rStyle w:val="apple-converted-space"/>
          <w:color w:val="000000"/>
          <w:sz w:val="27"/>
          <w:szCs w:val="27"/>
        </w:rPr>
        <w:t> </w:t>
      </w:r>
      <w:hyperlink r:id="rId14" w:history="1">
        <w:r>
          <w:rPr>
            <w:rStyle w:val="crossref"/>
            <w:color w:val="0000FF"/>
            <w:sz w:val="27"/>
            <w:szCs w:val="27"/>
            <w:u w:val="single"/>
          </w:rPr>
          <w:t>Native Americans I–VIII</w:t>
        </w:r>
      </w:hyperlink>
      <w:r>
        <w:rPr>
          <w:color w:val="000000"/>
          <w:sz w:val="27"/>
          <w:szCs w:val="27"/>
        </w:rPr>
        <w:t>;</w:t>
      </w:r>
      <w:r>
        <w:rPr>
          <w:rStyle w:val="apple-converted-space"/>
          <w:color w:val="000000"/>
          <w:sz w:val="27"/>
          <w:szCs w:val="27"/>
        </w:rPr>
        <w:t> </w:t>
      </w:r>
      <w:hyperlink r:id="rId15" w:history="1">
        <w:r>
          <w:rPr>
            <w:rStyle w:val="crossref"/>
            <w:color w:val="0000FF"/>
            <w:sz w:val="27"/>
            <w:szCs w:val="27"/>
            <w:u w:val="single"/>
          </w:rPr>
          <w:t>New Laws of 1542</w:t>
        </w:r>
      </w:hyperlink>
      <w:r>
        <w:rPr>
          <w:color w:val="000000"/>
          <w:sz w:val="27"/>
          <w:szCs w:val="27"/>
        </w:rPr>
        <w:t>;</w:t>
      </w:r>
      <w:r>
        <w:rPr>
          <w:rStyle w:val="apple-converted-space"/>
          <w:color w:val="000000"/>
          <w:sz w:val="27"/>
          <w:szCs w:val="27"/>
        </w:rPr>
        <w:t> </w:t>
      </w:r>
      <w:proofErr w:type="spellStart"/>
      <w:r>
        <w:rPr>
          <w:color w:val="000000"/>
          <w:sz w:val="27"/>
          <w:szCs w:val="27"/>
        </w:rPr>
        <w:fldChar w:fldCharType="begin"/>
      </w:r>
      <w:r>
        <w:rPr>
          <w:color w:val="000000"/>
          <w:sz w:val="27"/>
          <w:szCs w:val="27"/>
        </w:rPr>
        <w:instrText xml:space="preserve"> HYPERLINK "http://www.credoreference.com.libproxy.unm.edu/entry.do?id=8440435" </w:instrText>
      </w:r>
      <w:r>
        <w:rPr>
          <w:color w:val="000000"/>
          <w:sz w:val="27"/>
          <w:szCs w:val="27"/>
        </w:rPr>
        <w:fldChar w:fldCharType="separate"/>
      </w:r>
      <w:r>
        <w:rPr>
          <w:rStyle w:val="crossref"/>
          <w:color w:val="0000FF"/>
          <w:sz w:val="27"/>
          <w:szCs w:val="27"/>
          <w:u w:val="single"/>
        </w:rPr>
        <w:t>Repartimiento</w:t>
      </w:r>
      <w:proofErr w:type="spellEnd"/>
      <w:r>
        <w:rPr>
          <w:color w:val="000000"/>
          <w:sz w:val="27"/>
          <w:szCs w:val="27"/>
        </w:rPr>
        <w:fldChar w:fldCharType="end"/>
      </w:r>
      <w:r>
        <w:rPr>
          <w:color w:val="000000"/>
          <w:sz w:val="27"/>
          <w:szCs w:val="27"/>
        </w:rPr>
        <w:t>;</w:t>
      </w:r>
      <w:r>
        <w:rPr>
          <w:rStyle w:val="apple-converted-space"/>
          <w:color w:val="000000"/>
          <w:sz w:val="27"/>
          <w:szCs w:val="27"/>
        </w:rPr>
        <w:t> </w:t>
      </w:r>
      <w:hyperlink r:id="rId16" w:history="1">
        <w:r>
          <w:rPr>
            <w:rStyle w:val="crossref"/>
            <w:color w:val="0000FF"/>
            <w:sz w:val="27"/>
            <w:szCs w:val="27"/>
            <w:u w:val="single"/>
          </w:rPr>
          <w:t>Slavery I–IV</w:t>
        </w:r>
      </w:hyperlink>
      <w:r>
        <w:rPr>
          <w:color w:val="000000"/>
          <w:sz w:val="27"/>
          <w:szCs w:val="27"/>
        </w:rPr>
        <w:t>.</w:t>
      </w:r>
    </w:p>
    <w:p w:rsidR="00BA6CC5" w:rsidRPr="00BA6CC5" w:rsidRDefault="00BA6CC5" w:rsidP="00BA6CC5">
      <w:pPr>
        <w:jc w:val="both"/>
        <w:rPr>
          <w:color w:val="000000"/>
          <w:sz w:val="27"/>
          <w:szCs w:val="27"/>
          <w:lang w:val="en-US"/>
        </w:rPr>
      </w:pPr>
      <w:r>
        <w:rPr>
          <w:rFonts w:hAnsi="Symbol"/>
          <w:color w:val="000000"/>
          <w:sz w:val="27"/>
          <w:szCs w:val="27"/>
        </w:rPr>
        <w:t></w:t>
      </w:r>
      <w:r w:rsidRPr="00BA6CC5">
        <w:rPr>
          <w:color w:val="000000"/>
          <w:sz w:val="27"/>
          <w:szCs w:val="27"/>
          <w:lang w:val="en-US"/>
        </w:rPr>
        <w:t xml:space="preserve">  </w:t>
      </w:r>
      <w:r w:rsidRPr="00BA6CC5">
        <w:rPr>
          <w:rStyle w:val="personname"/>
          <w:color w:val="000000"/>
          <w:sz w:val="27"/>
          <w:szCs w:val="27"/>
          <w:lang w:val="en-US"/>
        </w:rPr>
        <w:t>Bakewell, Peter</w:t>
      </w:r>
      <w:r w:rsidRPr="00BA6CC5">
        <w:rPr>
          <w:color w:val="000000"/>
          <w:sz w:val="27"/>
          <w:szCs w:val="27"/>
          <w:lang w:val="en-US"/>
        </w:rPr>
        <w:t>.</w:t>
      </w:r>
      <w:r w:rsidRPr="00BA6CC5">
        <w:rPr>
          <w:rStyle w:val="apple-converted-space"/>
          <w:color w:val="000000"/>
          <w:sz w:val="27"/>
          <w:szCs w:val="27"/>
          <w:lang w:val="en-US"/>
        </w:rPr>
        <w:t> </w:t>
      </w:r>
      <w:r w:rsidRPr="00BA6CC5">
        <w:rPr>
          <w:rStyle w:val="work"/>
          <w:color w:val="000000"/>
          <w:sz w:val="27"/>
          <w:szCs w:val="27"/>
          <w:lang w:val="en-US"/>
        </w:rPr>
        <w:t>A History of Latin American Empires and Sequels, 1450–1930.</w:t>
      </w:r>
      <w:r w:rsidRPr="00BA6CC5">
        <w:rPr>
          <w:rStyle w:val="apple-converted-space"/>
          <w:color w:val="000000"/>
          <w:sz w:val="27"/>
          <w:szCs w:val="27"/>
          <w:lang w:val="en-US"/>
        </w:rPr>
        <w:t> </w:t>
      </w:r>
      <w:r w:rsidRPr="00BA6CC5">
        <w:rPr>
          <w:color w:val="000000"/>
          <w:sz w:val="27"/>
          <w:szCs w:val="27"/>
          <w:lang w:val="en-US"/>
        </w:rPr>
        <w:t>Oxford: Blackwell, 1997.</w:t>
      </w:r>
      <w:r w:rsidRPr="00BA6CC5">
        <w:rPr>
          <w:rStyle w:val="apple-converted-space"/>
          <w:color w:val="000000"/>
          <w:sz w:val="27"/>
          <w:szCs w:val="27"/>
          <w:lang w:val="en-US"/>
        </w:rPr>
        <w:t> </w:t>
      </w:r>
    </w:p>
    <w:p w:rsidR="00BA6CC5" w:rsidRPr="00BA6CC5" w:rsidRDefault="00BA6CC5" w:rsidP="00BA6CC5">
      <w:pPr>
        <w:jc w:val="both"/>
        <w:rPr>
          <w:color w:val="000000"/>
          <w:sz w:val="27"/>
          <w:szCs w:val="27"/>
          <w:lang w:val="en-US"/>
        </w:rPr>
      </w:pPr>
      <w:r>
        <w:rPr>
          <w:rFonts w:hAnsi="Symbol"/>
          <w:color w:val="000000"/>
          <w:sz w:val="27"/>
          <w:szCs w:val="27"/>
        </w:rPr>
        <w:t></w:t>
      </w:r>
      <w:r w:rsidRPr="00BA6CC5">
        <w:rPr>
          <w:color w:val="000000"/>
          <w:sz w:val="27"/>
          <w:szCs w:val="27"/>
          <w:lang w:val="en-US"/>
        </w:rPr>
        <w:t xml:space="preserve">  </w:t>
      </w:r>
      <w:r w:rsidRPr="00BA6CC5">
        <w:rPr>
          <w:rStyle w:val="personname"/>
          <w:color w:val="000000"/>
          <w:sz w:val="27"/>
          <w:szCs w:val="27"/>
          <w:lang w:val="en-US"/>
        </w:rPr>
        <w:t>Lockhart, James</w:t>
      </w:r>
      <w:r w:rsidRPr="00BA6CC5">
        <w:rPr>
          <w:color w:val="000000"/>
          <w:sz w:val="27"/>
          <w:szCs w:val="27"/>
          <w:lang w:val="en-US"/>
        </w:rPr>
        <w:t>.</w:t>
      </w:r>
      <w:r w:rsidRPr="00BA6CC5">
        <w:rPr>
          <w:rStyle w:val="apple-converted-space"/>
          <w:color w:val="000000"/>
          <w:sz w:val="27"/>
          <w:szCs w:val="27"/>
          <w:lang w:val="en-US"/>
        </w:rPr>
        <w:t> </w:t>
      </w:r>
      <w:r w:rsidRPr="00BA6CC5">
        <w:rPr>
          <w:rStyle w:val="work"/>
          <w:color w:val="000000"/>
          <w:sz w:val="27"/>
          <w:szCs w:val="27"/>
          <w:lang w:val="en-US"/>
        </w:rPr>
        <w:t>Spanish Peru, 1532–1560: A Colonial Society.</w:t>
      </w:r>
      <w:r w:rsidRPr="00BA6CC5">
        <w:rPr>
          <w:rStyle w:val="apple-converted-space"/>
          <w:color w:val="000000"/>
          <w:sz w:val="27"/>
          <w:szCs w:val="27"/>
          <w:lang w:val="en-US"/>
        </w:rPr>
        <w:t> </w:t>
      </w:r>
      <w:r w:rsidRPr="00BA6CC5">
        <w:rPr>
          <w:color w:val="000000"/>
          <w:sz w:val="27"/>
          <w:szCs w:val="27"/>
          <w:lang w:val="en-US"/>
        </w:rPr>
        <w:t>Madison: University of Wisconsin Press, 1968.</w:t>
      </w:r>
      <w:r w:rsidRPr="00BA6CC5">
        <w:rPr>
          <w:rStyle w:val="apple-converted-space"/>
          <w:color w:val="000000"/>
          <w:sz w:val="27"/>
          <w:szCs w:val="27"/>
          <w:lang w:val="en-US"/>
        </w:rPr>
        <w:t> </w:t>
      </w:r>
    </w:p>
    <w:p w:rsidR="00BA6CC5" w:rsidRPr="00BA6CC5" w:rsidRDefault="00BA6CC5" w:rsidP="00BA6CC5">
      <w:pPr>
        <w:jc w:val="both"/>
        <w:rPr>
          <w:color w:val="000000"/>
          <w:sz w:val="27"/>
          <w:szCs w:val="27"/>
          <w:lang w:val="en-US"/>
        </w:rPr>
      </w:pPr>
      <w:r>
        <w:rPr>
          <w:rFonts w:hAnsi="Symbol"/>
          <w:color w:val="000000"/>
          <w:sz w:val="27"/>
          <w:szCs w:val="27"/>
        </w:rPr>
        <w:t></w:t>
      </w:r>
      <w:r w:rsidRPr="00BA6CC5">
        <w:rPr>
          <w:color w:val="000000"/>
          <w:sz w:val="27"/>
          <w:szCs w:val="27"/>
          <w:lang w:val="en-US"/>
        </w:rPr>
        <w:t xml:space="preserve">  </w:t>
      </w:r>
      <w:r w:rsidRPr="00BA6CC5">
        <w:rPr>
          <w:rStyle w:val="personname"/>
          <w:color w:val="000000"/>
          <w:sz w:val="27"/>
          <w:szCs w:val="27"/>
          <w:lang w:val="en-US"/>
        </w:rPr>
        <w:t>Lockhart, James</w:t>
      </w:r>
      <w:r w:rsidRPr="00BA6CC5">
        <w:rPr>
          <w:color w:val="000000"/>
          <w:sz w:val="27"/>
          <w:szCs w:val="27"/>
          <w:lang w:val="en-US"/>
        </w:rPr>
        <w:t>, and Stuart B. Schwartz.</w:t>
      </w:r>
      <w:r w:rsidRPr="00BA6CC5">
        <w:rPr>
          <w:rStyle w:val="apple-converted-space"/>
          <w:color w:val="000000"/>
          <w:sz w:val="27"/>
          <w:szCs w:val="27"/>
          <w:lang w:val="en-US"/>
        </w:rPr>
        <w:t> </w:t>
      </w:r>
      <w:r w:rsidRPr="00BA6CC5">
        <w:rPr>
          <w:rStyle w:val="work"/>
          <w:color w:val="000000"/>
          <w:sz w:val="27"/>
          <w:szCs w:val="27"/>
          <w:lang w:val="en-US"/>
        </w:rPr>
        <w:t>Early Latin America: A History of Colonial Spanish America and Brazil.</w:t>
      </w:r>
      <w:r w:rsidRPr="00BA6CC5">
        <w:rPr>
          <w:rStyle w:val="apple-converted-space"/>
          <w:color w:val="000000"/>
          <w:sz w:val="27"/>
          <w:szCs w:val="27"/>
          <w:lang w:val="en-US"/>
        </w:rPr>
        <w:t> </w:t>
      </w:r>
      <w:r w:rsidRPr="00BA6CC5">
        <w:rPr>
          <w:color w:val="000000"/>
          <w:sz w:val="27"/>
          <w:szCs w:val="27"/>
          <w:lang w:val="en-US"/>
        </w:rPr>
        <w:t>Cambridge: Cambridge University Press, 1983.</w:t>
      </w:r>
      <w:r w:rsidRPr="00BA6CC5">
        <w:rPr>
          <w:rStyle w:val="apple-converted-space"/>
          <w:color w:val="000000"/>
          <w:sz w:val="27"/>
          <w:szCs w:val="27"/>
          <w:lang w:val="en-US"/>
        </w:rPr>
        <w:t> </w:t>
      </w:r>
    </w:p>
    <w:p w:rsidR="00BA6CC5" w:rsidRDefault="00BA6CC5" w:rsidP="00BA6CC5">
      <w:pPr>
        <w:jc w:val="both"/>
        <w:rPr>
          <w:color w:val="000000"/>
          <w:sz w:val="27"/>
          <w:szCs w:val="27"/>
        </w:rPr>
      </w:pPr>
      <w:r>
        <w:rPr>
          <w:rFonts w:hAnsi="Symbol"/>
          <w:color w:val="000000"/>
          <w:sz w:val="27"/>
          <w:szCs w:val="27"/>
        </w:rPr>
        <w:t></w:t>
      </w:r>
      <w:r w:rsidRPr="00BA6CC5">
        <w:rPr>
          <w:color w:val="000000"/>
          <w:sz w:val="27"/>
          <w:szCs w:val="27"/>
          <w:lang w:val="en-US"/>
        </w:rPr>
        <w:t xml:space="preserve">  </w:t>
      </w:r>
      <w:r w:rsidRPr="00BA6CC5">
        <w:rPr>
          <w:rStyle w:val="personname"/>
          <w:color w:val="000000"/>
          <w:sz w:val="27"/>
          <w:szCs w:val="27"/>
          <w:lang w:val="en-US"/>
        </w:rPr>
        <w:t>Villamarin, Juan A.</w:t>
      </w:r>
      <w:r w:rsidRPr="00BA6CC5">
        <w:rPr>
          <w:color w:val="000000"/>
          <w:sz w:val="27"/>
          <w:szCs w:val="27"/>
          <w:lang w:val="en-US"/>
        </w:rPr>
        <w:t>, and Judith E.</w:t>
      </w:r>
      <w:r w:rsidRPr="00BA6CC5">
        <w:rPr>
          <w:rStyle w:val="apple-converted-space"/>
          <w:color w:val="000000"/>
          <w:sz w:val="27"/>
          <w:szCs w:val="27"/>
          <w:lang w:val="en-US"/>
        </w:rPr>
        <w:t> </w:t>
      </w:r>
      <w:r w:rsidRPr="00BA6CC5">
        <w:rPr>
          <w:rStyle w:val="work"/>
          <w:color w:val="000000"/>
          <w:sz w:val="27"/>
          <w:szCs w:val="27"/>
          <w:lang w:val="en-US"/>
        </w:rPr>
        <w:t>Indian Labor in Mainland Colonial Spanish America.</w:t>
      </w:r>
      <w:r w:rsidRPr="00BA6CC5">
        <w:rPr>
          <w:rStyle w:val="apple-converted-space"/>
          <w:color w:val="000000"/>
          <w:sz w:val="27"/>
          <w:szCs w:val="27"/>
          <w:lang w:val="en-US"/>
        </w:rPr>
        <w:t> </w:t>
      </w:r>
      <w:r>
        <w:rPr>
          <w:color w:val="000000"/>
          <w:sz w:val="27"/>
          <w:szCs w:val="27"/>
        </w:rPr>
        <w:t xml:space="preserve">Newark: </w:t>
      </w:r>
      <w:proofErr w:type="spellStart"/>
      <w:r>
        <w:rPr>
          <w:color w:val="000000"/>
          <w:sz w:val="27"/>
          <w:szCs w:val="27"/>
        </w:rPr>
        <w:t>University</w:t>
      </w:r>
      <w:proofErr w:type="spellEnd"/>
      <w:r>
        <w:rPr>
          <w:color w:val="000000"/>
          <w:sz w:val="27"/>
          <w:szCs w:val="27"/>
        </w:rPr>
        <w:t xml:space="preserve"> of Delaware </w:t>
      </w:r>
      <w:proofErr w:type="spellStart"/>
      <w:r>
        <w:rPr>
          <w:color w:val="000000"/>
          <w:sz w:val="27"/>
          <w:szCs w:val="27"/>
        </w:rPr>
        <w:t>Press</w:t>
      </w:r>
      <w:proofErr w:type="spellEnd"/>
      <w:r>
        <w:rPr>
          <w:color w:val="000000"/>
          <w:sz w:val="27"/>
          <w:szCs w:val="27"/>
        </w:rPr>
        <w:t>, 1975.</w:t>
      </w:r>
      <w:r>
        <w:rPr>
          <w:rStyle w:val="apple-converted-space"/>
          <w:color w:val="000000"/>
          <w:sz w:val="27"/>
          <w:szCs w:val="27"/>
        </w:rPr>
        <w:t> </w:t>
      </w:r>
    </w:p>
    <w:p w:rsidR="00BA6CC5" w:rsidRDefault="00BA6CC5" w:rsidP="00BA6CC5">
      <w:pPr>
        <w:pStyle w:val="ecopyright"/>
        <w:jc w:val="both"/>
        <w:rPr>
          <w:color w:val="000000"/>
          <w:sz w:val="27"/>
          <w:szCs w:val="27"/>
          <w:lang w:val="en"/>
        </w:rPr>
      </w:pPr>
      <w:r>
        <w:rPr>
          <w:rStyle w:val="apple-converted-space"/>
          <w:color w:val="000000"/>
          <w:sz w:val="27"/>
          <w:szCs w:val="27"/>
          <w:lang w:val="en"/>
        </w:rPr>
        <w:t> </w:t>
      </w:r>
      <w:r>
        <w:rPr>
          <w:color w:val="000000"/>
          <w:sz w:val="27"/>
          <w:szCs w:val="27"/>
          <w:lang w:val="en"/>
        </w:rPr>
        <w:t xml:space="preserve">Copyright © 2006 by </w:t>
      </w:r>
      <w:bookmarkStart w:id="1" w:name="_GoBack"/>
      <w:r>
        <w:rPr>
          <w:color w:val="000000"/>
          <w:sz w:val="27"/>
          <w:szCs w:val="27"/>
          <w:lang w:val="en"/>
        </w:rPr>
        <w:t>J. Michael Francis</w:t>
      </w:r>
      <w:bookmarkEnd w:id="1"/>
    </w:p>
    <w:p w:rsidR="00AF597F" w:rsidRPr="00BA6CC5" w:rsidRDefault="00AF597F" w:rsidP="00BA6CC5">
      <w:pPr>
        <w:jc w:val="both"/>
      </w:pPr>
    </w:p>
    <w:sectPr w:rsidR="00AF597F" w:rsidRPr="00BA6CC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97F"/>
    <w:rsid w:val="00106300"/>
    <w:rsid w:val="001E2BC4"/>
    <w:rsid w:val="002D7A4F"/>
    <w:rsid w:val="00AF597F"/>
    <w:rsid w:val="00B20249"/>
    <w:rsid w:val="00BA6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A6CC5"/>
  </w:style>
  <w:style w:type="paragraph" w:styleId="NormalWeb">
    <w:name w:val="Normal (Web)"/>
    <w:basedOn w:val="Normal"/>
    <w:uiPriority w:val="99"/>
    <w:unhideWhenUsed/>
    <w:rsid w:val="00BA6CC5"/>
    <w:pPr>
      <w:spacing w:before="100" w:beforeAutospacing="1" w:after="100" w:afterAutospacing="1"/>
    </w:pPr>
    <w:rPr>
      <w:lang w:val="en-US"/>
    </w:rPr>
  </w:style>
  <w:style w:type="character" w:customStyle="1" w:styleId="apple-converted-space">
    <w:name w:val="apple-converted-space"/>
    <w:basedOn w:val="DefaultParagraphFont"/>
    <w:rsid w:val="00BA6CC5"/>
  </w:style>
  <w:style w:type="character" w:customStyle="1" w:styleId="bodyi">
    <w:name w:val="bodyi"/>
    <w:basedOn w:val="DefaultParagraphFont"/>
    <w:rsid w:val="00BA6CC5"/>
  </w:style>
  <w:style w:type="character" w:customStyle="1" w:styleId="crossref">
    <w:name w:val="crossref"/>
    <w:basedOn w:val="DefaultParagraphFont"/>
    <w:rsid w:val="00BA6CC5"/>
  </w:style>
  <w:style w:type="character" w:customStyle="1" w:styleId="personname">
    <w:name w:val="personname"/>
    <w:basedOn w:val="DefaultParagraphFont"/>
    <w:rsid w:val="00BA6CC5"/>
  </w:style>
  <w:style w:type="character" w:customStyle="1" w:styleId="work">
    <w:name w:val="work"/>
    <w:basedOn w:val="DefaultParagraphFont"/>
    <w:rsid w:val="00BA6CC5"/>
  </w:style>
  <w:style w:type="paragraph" w:customStyle="1" w:styleId="ecopyright">
    <w:name w:val="ecopyright"/>
    <w:basedOn w:val="Normal"/>
    <w:rsid w:val="00BA6CC5"/>
    <w:pPr>
      <w:spacing w:before="100" w:beforeAutospacing="1" w:after="100" w:afterAutospacing="1"/>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A6CC5"/>
  </w:style>
  <w:style w:type="paragraph" w:styleId="NormalWeb">
    <w:name w:val="Normal (Web)"/>
    <w:basedOn w:val="Normal"/>
    <w:uiPriority w:val="99"/>
    <w:unhideWhenUsed/>
    <w:rsid w:val="00BA6CC5"/>
    <w:pPr>
      <w:spacing w:before="100" w:beforeAutospacing="1" w:after="100" w:afterAutospacing="1"/>
    </w:pPr>
    <w:rPr>
      <w:lang w:val="en-US"/>
    </w:rPr>
  </w:style>
  <w:style w:type="character" w:customStyle="1" w:styleId="apple-converted-space">
    <w:name w:val="apple-converted-space"/>
    <w:basedOn w:val="DefaultParagraphFont"/>
    <w:rsid w:val="00BA6CC5"/>
  </w:style>
  <w:style w:type="character" w:customStyle="1" w:styleId="bodyi">
    <w:name w:val="bodyi"/>
    <w:basedOn w:val="DefaultParagraphFont"/>
    <w:rsid w:val="00BA6CC5"/>
  </w:style>
  <w:style w:type="character" w:customStyle="1" w:styleId="crossref">
    <w:name w:val="crossref"/>
    <w:basedOn w:val="DefaultParagraphFont"/>
    <w:rsid w:val="00BA6CC5"/>
  </w:style>
  <w:style w:type="character" w:customStyle="1" w:styleId="personname">
    <w:name w:val="personname"/>
    <w:basedOn w:val="DefaultParagraphFont"/>
    <w:rsid w:val="00BA6CC5"/>
  </w:style>
  <w:style w:type="character" w:customStyle="1" w:styleId="work">
    <w:name w:val="work"/>
    <w:basedOn w:val="DefaultParagraphFont"/>
    <w:rsid w:val="00BA6CC5"/>
  </w:style>
  <w:style w:type="paragraph" w:customStyle="1" w:styleId="ecopyright">
    <w:name w:val="ecopyright"/>
    <w:basedOn w:val="Normal"/>
    <w:rsid w:val="00BA6CC5"/>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46147">
      <w:bodyDiv w:val="1"/>
      <w:marLeft w:val="0"/>
      <w:marRight w:val="0"/>
      <w:marTop w:val="0"/>
      <w:marBottom w:val="0"/>
      <w:divBdr>
        <w:top w:val="none" w:sz="0" w:space="0" w:color="auto"/>
        <w:left w:val="none" w:sz="0" w:space="0" w:color="auto"/>
        <w:bottom w:val="none" w:sz="0" w:space="0" w:color="auto"/>
        <w:right w:val="none" w:sz="0" w:space="0" w:color="auto"/>
      </w:divBdr>
    </w:div>
    <w:div w:id="940449730">
      <w:bodyDiv w:val="1"/>
      <w:marLeft w:val="0"/>
      <w:marRight w:val="0"/>
      <w:marTop w:val="0"/>
      <w:marBottom w:val="0"/>
      <w:divBdr>
        <w:top w:val="none" w:sz="0" w:space="0" w:color="auto"/>
        <w:left w:val="none" w:sz="0" w:space="0" w:color="auto"/>
        <w:bottom w:val="none" w:sz="0" w:space="0" w:color="auto"/>
        <w:right w:val="none" w:sz="0" w:space="0" w:color="auto"/>
      </w:divBdr>
      <w:divsChild>
        <w:div w:id="1297444315">
          <w:marLeft w:val="0"/>
          <w:marRight w:val="0"/>
          <w:marTop w:val="0"/>
          <w:marBottom w:val="0"/>
          <w:divBdr>
            <w:top w:val="none" w:sz="0" w:space="0" w:color="auto"/>
            <w:left w:val="none" w:sz="0" w:space="0" w:color="auto"/>
            <w:bottom w:val="none" w:sz="0" w:space="0" w:color="auto"/>
            <w:right w:val="none" w:sz="0" w:space="0" w:color="auto"/>
          </w:divBdr>
        </w:div>
        <w:div w:id="2021200028">
          <w:marLeft w:val="0"/>
          <w:marRight w:val="0"/>
          <w:marTop w:val="0"/>
          <w:marBottom w:val="0"/>
          <w:divBdr>
            <w:top w:val="none" w:sz="0" w:space="0" w:color="auto"/>
            <w:left w:val="none" w:sz="0" w:space="0" w:color="auto"/>
            <w:bottom w:val="none" w:sz="0" w:space="0" w:color="auto"/>
            <w:right w:val="none" w:sz="0" w:space="0" w:color="auto"/>
          </w:divBdr>
          <w:divsChild>
            <w:div w:id="656417647">
              <w:marLeft w:val="0"/>
              <w:marRight w:val="0"/>
              <w:marTop w:val="0"/>
              <w:marBottom w:val="0"/>
              <w:divBdr>
                <w:top w:val="none" w:sz="0" w:space="0" w:color="auto"/>
                <w:left w:val="none" w:sz="0" w:space="0" w:color="auto"/>
                <w:bottom w:val="none" w:sz="0" w:space="0" w:color="auto"/>
                <w:right w:val="none" w:sz="0" w:space="0" w:color="auto"/>
              </w:divBdr>
              <w:divsChild>
                <w:div w:id="15646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edoreference.com.libproxy.unm.edu/entry.do?id=8440214" TargetMode="External"/><Relationship Id="rId13" Type="http://schemas.openxmlformats.org/officeDocument/2006/relationships/hyperlink" Target="http://www.credoreference.com.libproxy.unm.edu/entry.do?id=844034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edoreference.com.libproxy.unm.edu/entry.do?id=8440203" TargetMode="External"/><Relationship Id="rId12" Type="http://schemas.openxmlformats.org/officeDocument/2006/relationships/hyperlink" Target="http://www.credoreference.com.libproxy.unm.edu/entry.do?id=8440250"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credoreference.com.libproxy.unm.edu/entry.do?id=8440452" TargetMode="External"/><Relationship Id="rId1" Type="http://schemas.openxmlformats.org/officeDocument/2006/relationships/styles" Target="styles.xml"/><Relationship Id="rId6" Type="http://schemas.openxmlformats.org/officeDocument/2006/relationships/hyperlink" Target="http://www.credoreference.com.libproxy.unm.edu/entry.do?id=8440187" TargetMode="External"/><Relationship Id="rId11" Type="http://schemas.openxmlformats.org/officeDocument/2006/relationships/hyperlink" Target="http://www.credoreference.com.libproxy.unm.edu/entry.do?id=8440246" TargetMode="External"/><Relationship Id="rId5" Type="http://schemas.openxmlformats.org/officeDocument/2006/relationships/hyperlink" Target="http://www.credoreference.com.libproxy.unm.edu/entry.do?id=8440169" TargetMode="External"/><Relationship Id="rId15" Type="http://schemas.openxmlformats.org/officeDocument/2006/relationships/hyperlink" Target="http://www.credoreference.com.libproxy.unm.edu/entry.do?id=8440396" TargetMode="External"/><Relationship Id="rId10" Type="http://schemas.openxmlformats.org/officeDocument/2006/relationships/hyperlink" Target="http://www.credoreference.com.libproxy.unm.edu/entry.do?id=8440230" TargetMode="External"/><Relationship Id="rId4" Type="http://schemas.openxmlformats.org/officeDocument/2006/relationships/webSettings" Target="webSettings.xml"/><Relationship Id="rId9" Type="http://schemas.openxmlformats.org/officeDocument/2006/relationships/hyperlink" Target="http://www.credoreference.com.libproxy.unm.edu/entry.do?id=8440223" TargetMode="External"/><Relationship Id="rId14" Type="http://schemas.openxmlformats.org/officeDocument/2006/relationships/hyperlink" Target="http://www.credoreference.com.libproxy.unm.edu/entry.do?id=8440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2011-07-21T18:34:00Z</dcterms:created>
  <dcterms:modified xsi:type="dcterms:W3CDTF">2011-07-21T21:12:00Z</dcterms:modified>
</cp:coreProperties>
</file>